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8A44AB" w14:paraId="23AC7A4E" w14:textId="77777777">
        <w:tc>
          <w:tcPr>
            <w:tcW w:w="3915" w:type="dxa"/>
          </w:tcPr>
          <w:p w14:paraId="730FA49D" w14:textId="77777777" w:rsidR="00DE1913" w:rsidRPr="008A44AB" w:rsidRDefault="003B2B73">
            <w:pPr>
              <w:widowControl w:val="0"/>
              <w:spacing w:after="0"/>
              <w:rPr>
                <w:rFonts w:ascii="Work Sans" w:hAnsi="Work Sans"/>
                <w:sz w:val="17"/>
                <w:szCs w:val="17"/>
                <w:lang w:val="pt-BR"/>
              </w:rPr>
            </w:pPr>
            <w:r w:rsidRPr="008A44AB">
              <w:rPr>
                <w:rFonts w:ascii="Work Sans" w:hAnsi="Work Sans"/>
                <w:sz w:val="17"/>
                <w:szCs w:val="17"/>
                <w:lang w:val="pt-BR"/>
              </w:rPr>
              <w:t xml:space="preserve">Código </w:t>
            </w:r>
            <w:proofErr w:type="spellStart"/>
            <w:r w:rsidRPr="008A44AB">
              <w:rPr>
                <w:rFonts w:ascii="Work Sans" w:hAnsi="Work Sans"/>
                <w:sz w:val="17"/>
                <w:szCs w:val="17"/>
                <w:lang w:val="pt-BR"/>
              </w:rPr>
              <w:t>validación</w:t>
            </w:r>
            <w:proofErr w:type="spellEnd"/>
            <w:r w:rsidRPr="008A44AB">
              <w:rPr>
                <w:rFonts w:ascii="Work Sans" w:hAnsi="Work Sans"/>
                <w:sz w:val="17"/>
                <w:szCs w:val="17"/>
                <w:lang w:val="pt-BR"/>
              </w:rPr>
              <w:t xml:space="preserve"> </w:t>
            </w:r>
            <w:proofErr w:type="spellStart"/>
            <w:r w:rsidRPr="008A44AB">
              <w:rPr>
                <w:rFonts w:ascii="Work Sans" w:hAnsi="Work Sans"/>
                <w:sz w:val="17"/>
                <w:szCs w:val="17"/>
                <w:lang w:val="pt-BR"/>
              </w:rPr>
              <w:t>comunicación</w:t>
            </w:r>
            <w:proofErr w:type="spellEnd"/>
            <w:r w:rsidRPr="008A44AB">
              <w:rPr>
                <w:rFonts w:ascii="Work Sans" w:hAnsi="Work Sans"/>
                <w:sz w:val="17"/>
                <w:szCs w:val="17"/>
                <w:lang w:val="pt-BR"/>
              </w:rPr>
              <w:t xml:space="preserve">: </w:t>
            </w:r>
            <w:proofErr w:type="spellStart"/>
            <w:r w:rsidRPr="008A44AB">
              <w:rPr>
                <w:rFonts w:ascii="Work Sans" w:hAnsi="Work Sans"/>
                <w:sz w:val="17"/>
                <w:szCs w:val="17"/>
                <w:lang w:val="pt-BR"/>
              </w:rPr>
              <w:t>cod_val_rad</w:t>
            </w:r>
            <w:proofErr w:type="spellEnd"/>
          </w:p>
        </w:tc>
        <w:tc>
          <w:tcPr>
            <w:tcW w:w="5451" w:type="dxa"/>
          </w:tcPr>
          <w:p w14:paraId="3A2B2162" w14:textId="77777777" w:rsidR="00DE1913" w:rsidRPr="008A44AB" w:rsidRDefault="003B2B73">
            <w:pPr>
              <w:widowControl w:val="0"/>
              <w:spacing w:after="0"/>
              <w:jc w:val="right"/>
              <w:rPr>
                <w:rFonts w:ascii="Work Sans" w:hAnsi="Work Sans"/>
                <w:sz w:val="17"/>
                <w:szCs w:val="17"/>
                <w:lang w:val="pt-BR"/>
              </w:rPr>
            </w:pPr>
            <w:r w:rsidRPr="008A44AB">
              <w:rPr>
                <w:rFonts w:ascii="Work Sans" w:hAnsi="Work Sans"/>
                <w:sz w:val="17"/>
                <w:szCs w:val="17"/>
                <w:lang w:val="pt-BR"/>
              </w:rPr>
              <w:t xml:space="preserve">Código </w:t>
            </w:r>
            <w:proofErr w:type="spellStart"/>
            <w:r w:rsidRPr="008A44AB">
              <w:rPr>
                <w:rFonts w:ascii="Work Sans" w:hAnsi="Work Sans"/>
                <w:sz w:val="17"/>
                <w:szCs w:val="17"/>
                <w:lang w:val="pt-BR"/>
              </w:rPr>
              <w:t>Dependencia</w:t>
            </w:r>
            <w:proofErr w:type="spellEnd"/>
            <w:r w:rsidRPr="008A44AB">
              <w:rPr>
                <w:rFonts w:ascii="Work Sans" w:hAnsi="Work Sans"/>
                <w:sz w:val="17"/>
                <w:szCs w:val="17"/>
                <w:lang w:val="pt-BR"/>
              </w:rPr>
              <w:t xml:space="preserve">: </w:t>
            </w:r>
            <w:proofErr w:type="spellStart"/>
            <w:r w:rsidRPr="008A44AB">
              <w:rPr>
                <w:rFonts w:ascii="Work Sans" w:hAnsi="Work Sans"/>
                <w:sz w:val="17"/>
                <w:szCs w:val="17"/>
                <w:lang w:val="pt-BR"/>
              </w:rPr>
              <w:t>depe_var</w:t>
            </w:r>
            <w:proofErr w:type="spellEnd"/>
          </w:p>
        </w:tc>
      </w:tr>
      <w:tr w:rsidR="00DE1913" w:rsidRPr="008A44AB" w14:paraId="566C62F5" w14:textId="77777777">
        <w:tc>
          <w:tcPr>
            <w:tcW w:w="3915" w:type="dxa"/>
          </w:tcPr>
          <w:p w14:paraId="2ADCC3AD" w14:textId="77777777" w:rsidR="00DE1913" w:rsidRPr="008A44AB" w:rsidRDefault="003B2B73">
            <w:pPr>
              <w:widowControl w:val="0"/>
              <w:spacing w:after="0"/>
              <w:rPr>
                <w:rFonts w:ascii="Work Sans" w:hAnsi="Work Sans"/>
                <w:sz w:val="17"/>
                <w:szCs w:val="17"/>
                <w:lang w:val="pt-BR"/>
              </w:rPr>
            </w:pPr>
            <w:proofErr w:type="spellStart"/>
            <w:r w:rsidRPr="008A44AB">
              <w:rPr>
                <w:rFonts w:ascii="Work Sans" w:hAnsi="Work Sans"/>
                <w:sz w:val="17"/>
                <w:szCs w:val="17"/>
                <w:lang w:val="pt-BR"/>
              </w:rPr>
              <w:t>cod_exp</w:t>
            </w:r>
            <w:proofErr w:type="spellEnd"/>
            <w:r w:rsidRPr="008A44AB">
              <w:rPr>
                <w:rFonts w:ascii="Work Sans" w:hAnsi="Work Sans"/>
                <w:sz w:val="17"/>
                <w:szCs w:val="17"/>
                <w:lang w:val="pt-BR"/>
              </w:rPr>
              <w:br/>
            </w:r>
            <w:proofErr w:type="spellStart"/>
            <w:r w:rsidRPr="008A44AB">
              <w:rPr>
                <w:rFonts w:ascii="Work Sans" w:hAnsi="Work Sans"/>
                <w:sz w:val="17"/>
                <w:szCs w:val="17"/>
                <w:lang w:val="pt-BR"/>
              </w:rPr>
              <w:t>cod_val_exp</w:t>
            </w:r>
            <w:proofErr w:type="spellEnd"/>
          </w:p>
        </w:tc>
        <w:tc>
          <w:tcPr>
            <w:tcW w:w="5451" w:type="dxa"/>
          </w:tcPr>
          <w:p w14:paraId="724B864E" w14:textId="77777777" w:rsidR="00DE1913" w:rsidRPr="008A44AB" w:rsidRDefault="003B2B73">
            <w:pPr>
              <w:widowControl w:val="0"/>
              <w:spacing w:after="0"/>
              <w:jc w:val="right"/>
              <w:rPr>
                <w:rFonts w:ascii="Work Sans" w:hAnsi="Work Sans"/>
                <w:sz w:val="17"/>
                <w:szCs w:val="17"/>
              </w:rPr>
            </w:pPr>
            <w:proofErr w:type="spellStart"/>
            <w:r w:rsidRPr="008A44AB">
              <w:rPr>
                <w:rFonts w:ascii="Work Sans" w:eastAsia="Times New Roman" w:hAnsi="Work Sans" w:cs="Times New Roman"/>
                <w:sz w:val="17"/>
                <w:szCs w:val="17"/>
                <w:lang w:val="pt-BR" w:eastAsia="es-ES"/>
              </w:rPr>
              <w:t>Acceso</w:t>
            </w:r>
            <w:proofErr w:type="spellEnd"/>
            <w:r w:rsidRPr="008A44AB">
              <w:rPr>
                <w:rFonts w:ascii="Work Sans" w:eastAsia="Times New Roman" w:hAnsi="Work Sans" w:cs="Times New Roman"/>
                <w:sz w:val="17"/>
                <w:szCs w:val="17"/>
                <w:lang w:val="pt-BR" w:eastAsia="es-ES"/>
              </w:rPr>
              <w:t>: Reservado (</w:t>
            </w:r>
            <w:proofErr w:type="spellStart"/>
            <w:r w:rsidRPr="008A44AB">
              <w:rPr>
                <w:rFonts w:ascii="Work Sans" w:eastAsia="Times New Roman" w:hAnsi="Work Sans" w:cs="Times New Roman"/>
                <w:sz w:val="17"/>
                <w:szCs w:val="17"/>
                <w:lang w:val="pt-BR" w:eastAsia="es-ES"/>
              </w:rPr>
              <w:t>ac_res</w:t>
            </w:r>
            <w:proofErr w:type="spellEnd"/>
            <w:r w:rsidRPr="008A44AB">
              <w:rPr>
                <w:rFonts w:ascii="Work Sans" w:eastAsia="Times New Roman" w:hAnsi="Work Sans" w:cs="Times New Roman"/>
                <w:sz w:val="17"/>
                <w:szCs w:val="17"/>
                <w:lang w:val="pt-BR" w:eastAsia="es-ES"/>
              </w:rPr>
              <w:t>), Público (</w:t>
            </w:r>
            <w:proofErr w:type="spellStart"/>
            <w:r w:rsidRPr="008A44AB">
              <w:rPr>
                <w:rFonts w:ascii="Work Sans" w:eastAsia="Times New Roman" w:hAnsi="Work Sans" w:cs="Times New Roman"/>
                <w:sz w:val="17"/>
                <w:szCs w:val="17"/>
                <w:lang w:val="pt-BR" w:eastAsia="es-ES"/>
              </w:rPr>
              <w:t>ac_pub</w:t>
            </w:r>
            <w:proofErr w:type="spellEnd"/>
            <w:r w:rsidRPr="008A44AB">
              <w:rPr>
                <w:rFonts w:ascii="Work Sans" w:eastAsia="Times New Roman" w:hAnsi="Work Sans" w:cs="Times New Roman"/>
                <w:sz w:val="17"/>
                <w:szCs w:val="17"/>
                <w:lang w:val="pt-BR" w:eastAsia="es-ES"/>
              </w:rPr>
              <w:t xml:space="preserve">), </w:t>
            </w:r>
            <w:proofErr w:type="spellStart"/>
            <w:r w:rsidRPr="008A44AB">
              <w:rPr>
                <w:rFonts w:ascii="Work Sans" w:eastAsia="Times New Roman" w:hAnsi="Work Sans" w:cs="Times New Roman"/>
                <w:sz w:val="17"/>
                <w:szCs w:val="17"/>
                <w:lang w:val="pt-BR" w:eastAsia="es-ES"/>
              </w:rPr>
              <w:t>Clasificado</w:t>
            </w:r>
            <w:proofErr w:type="spellEnd"/>
            <w:r w:rsidRPr="008A44AB">
              <w:rPr>
                <w:rFonts w:ascii="Work Sans" w:eastAsia="Times New Roman" w:hAnsi="Work Sans" w:cs="Times New Roman"/>
                <w:sz w:val="17"/>
                <w:szCs w:val="17"/>
                <w:lang w:val="pt-BR" w:eastAsia="es-ES"/>
              </w:rPr>
              <w:t xml:space="preserve"> (</w:t>
            </w:r>
            <w:proofErr w:type="spellStart"/>
            <w:r w:rsidRPr="008A44AB">
              <w:rPr>
                <w:rFonts w:ascii="Work Sans" w:eastAsia="Times New Roman" w:hAnsi="Work Sans" w:cs="Times New Roman"/>
                <w:sz w:val="17"/>
                <w:szCs w:val="17"/>
                <w:lang w:val="pt-BR" w:eastAsia="es-ES"/>
              </w:rPr>
              <w:t>ac_cla</w:t>
            </w:r>
            <w:proofErr w:type="spellEnd"/>
            <w:r w:rsidRPr="008A44AB">
              <w:rPr>
                <w:rFonts w:ascii="Work Sans" w:eastAsia="Times New Roman" w:hAnsi="Work Sans" w:cs="Times New Roman"/>
                <w:sz w:val="17"/>
                <w:szCs w:val="17"/>
                <w:lang w:val="pt-BR" w:eastAsia="es-ES"/>
              </w:rPr>
              <w:t>)</w:t>
            </w:r>
          </w:p>
        </w:tc>
      </w:tr>
    </w:tbl>
    <w:p w14:paraId="171D3E54" w14:textId="77777777" w:rsidR="00DE1913" w:rsidRPr="008A44AB" w:rsidRDefault="00DE1913">
      <w:pPr>
        <w:ind w:right="49"/>
        <w:rPr>
          <w:rFonts w:ascii="Work Sans" w:hAnsi="Work Sans"/>
          <w:sz w:val="16"/>
          <w:lang w:val="pt-BR"/>
        </w:rPr>
      </w:pPr>
    </w:p>
    <w:p w14:paraId="57ECD084" w14:textId="77777777" w:rsidR="00DE1913" w:rsidRPr="008A44AB" w:rsidRDefault="003B2B73">
      <w:pPr>
        <w:spacing w:after="0"/>
        <w:rPr>
          <w:rFonts w:ascii="Work Sans" w:hAnsi="Work Sans"/>
          <w:sz w:val="24"/>
          <w:szCs w:val="24"/>
          <w:lang w:val="pt-BR"/>
        </w:rPr>
      </w:pPr>
      <w:r w:rsidRPr="008A44AB">
        <w:rPr>
          <w:rFonts w:ascii="Work Sans" w:hAnsi="Work Sans"/>
          <w:sz w:val="24"/>
          <w:szCs w:val="24"/>
          <w:lang w:val="pt-BR"/>
        </w:rPr>
        <w:t>Bogotá, D.C.</w:t>
      </w:r>
    </w:p>
    <w:p w14:paraId="3308340B" w14:textId="77777777" w:rsidR="00DE1913" w:rsidRPr="008A44AB" w:rsidRDefault="00DE1913">
      <w:pPr>
        <w:spacing w:after="0"/>
        <w:rPr>
          <w:rFonts w:ascii="Work Sans" w:hAnsi="Work Sans" w:cs="Arial"/>
          <w:sz w:val="24"/>
          <w:szCs w:val="24"/>
        </w:rPr>
      </w:pPr>
    </w:p>
    <w:p w14:paraId="5CC14689" w14:textId="77777777" w:rsidR="00DE1913" w:rsidRPr="008A44AB" w:rsidRDefault="003B2B73">
      <w:pPr>
        <w:spacing w:after="0"/>
        <w:rPr>
          <w:rFonts w:ascii="Work Sans" w:hAnsi="Work Sans"/>
          <w:sz w:val="24"/>
          <w:szCs w:val="24"/>
        </w:rPr>
      </w:pPr>
      <w:r w:rsidRPr="008A44AB">
        <w:rPr>
          <w:rFonts w:ascii="Work Sans" w:hAnsi="Work Sans"/>
          <w:sz w:val="24"/>
          <w:szCs w:val="24"/>
        </w:rPr>
        <w:t>encabezado</w:t>
      </w:r>
    </w:p>
    <w:p w14:paraId="7DBBECFA" w14:textId="77777777" w:rsidR="00DE1913" w:rsidRPr="008A44AB" w:rsidRDefault="003B2B73">
      <w:pPr>
        <w:spacing w:after="0"/>
        <w:rPr>
          <w:rFonts w:ascii="Work Sans" w:hAnsi="Work Sans"/>
          <w:sz w:val="24"/>
          <w:szCs w:val="24"/>
          <w:lang w:val="es-ES"/>
        </w:rPr>
      </w:pPr>
      <w:proofErr w:type="spellStart"/>
      <w:r w:rsidRPr="008A44AB">
        <w:rPr>
          <w:rFonts w:ascii="Work Sans" w:hAnsi="Work Sans" w:cs="Arial"/>
          <w:b/>
          <w:bCs/>
          <w:sz w:val="24"/>
          <w:szCs w:val="24"/>
        </w:rPr>
        <w:t>nombredestinatario</w:t>
      </w:r>
      <w:proofErr w:type="spellEnd"/>
      <w:r w:rsidRPr="008A44AB">
        <w:rPr>
          <w:rFonts w:ascii="Work Sans" w:hAnsi="Work Sans"/>
          <w:sz w:val="24"/>
          <w:szCs w:val="24"/>
        </w:rPr>
        <w:br/>
      </w:r>
      <w:proofErr w:type="spellStart"/>
      <w:r w:rsidRPr="008A44AB">
        <w:rPr>
          <w:rFonts w:ascii="Work Sans" w:hAnsi="Work Sans"/>
          <w:sz w:val="24"/>
          <w:szCs w:val="24"/>
        </w:rPr>
        <w:t>dir_r</w:t>
      </w:r>
      <w:proofErr w:type="spellEnd"/>
      <w:r w:rsidRPr="008A44AB">
        <w:rPr>
          <w:rFonts w:ascii="Work Sans" w:hAnsi="Work Sans"/>
          <w:sz w:val="24"/>
          <w:szCs w:val="24"/>
        </w:rPr>
        <w:br/>
      </w:r>
      <w:proofErr w:type="spellStart"/>
      <w:r w:rsidRPr="008A44AB">
        <w:rPr>
          <w:rFonts w:ascii="Work Sans" w:hAnsi="Work Sans"/>
          <w:sz w:val="24"/>
          <w:szCs w:val="24"/>
          <w:lang w:val="es-ES"/>
        </w:rPr>
        <w:t>muni_r</w:t>
      </w:r>
      <w:proofErr w:type="spellEnd"/>
      <w:r w:rsidRPr="008A44AB">
        <w:rPr>
          <w:rFonts w:ascii="Work Sans" w:hAnsi="Work Sans"/>
          <w:sz w:val="24"/>
          <w:szCs w:val="24"/>
          <w:lang w:val="es-ES"/>
        </w:rPr>
        <w:t xml:space="preserve"> </w:t>
      </w:r>
      <w:proofErr w:type="spellStart"/>
      <w:r w:rsidRPr="008A44AB">
        <w:rPr>
          <w:rFonts w:ascii="Work Sans" w:hAnsi="Work Sans"/>
          <w:sz w:val="24"/>
          <w:szCs w:val="24"/>
          <w:lang w:val="es-ES"/>
        </w:rPr>
        <w:t>depto_r</w:t>
      </w:r>
      <w:proofErr w:type="spellEnd"/>
    </w:p>
    <w:p w14:paraId="2D7F32A6" w14:textId="77777777" w:rsidR="00DE1913" w:rsidRPr="008A44AB" w:rsidRDefault="00DE1913">
      <w:pPr>
        <w:pStyle w:val="Textoindependiente"/>
        <w:ind w:right="40"/>
        <w:rPr>
          <w:rFonts w:ascii="Work Sans" w:hAnsi="Work Sans"/>
          <w:szCs w:val="24"/>
        </w:rPr>
      </w:pPr>
    </w:p>
    <w:p w14:paraId="03C6DFA7" w14:textId="77777777" w:rsidR="00DE1913" w:rsidRPr="008A44AB" w:rsidRDefault="003B2B73" w:rsidP="00FA439A">
      <w:pPr>
        <w:pStyle w:val="Textoindependiente"/>
        <w:ind w:left="993" w:right="40" w:hanging="993"/>
        <w:jc w:val="left"/>
        <w:rPr>
          <w:rFonts w:ascii="Work Sans" w:hAnsi="Work Sans"/>
          <w:szCs w:val="24"/>
        </w:rPr>
      </w:pPr>
      <w:r w:rsidRPr="008A44AB">
        <w:rPr>
          <w:rFonts w:ascii="Work Sans" w:hAnsi="Work Sans"/>
          <w:szCs w:val="24"/>
        </w:rPr>
        <w:t xml:space="preserve">Asunto: </w:t>
      </w:r>
      <w:r w:rsidRPr="008A44AB">
        <w:rPr>
          <w:rFonts w:ascii="Work Sans" w:hAnsi="Work Sans"/>
          <w:szCs w:val="24"/>
        </w:rPr>
        <w:tab/>
      </w:r>
      <w:proofErr w:type="spellStart"/>
      <w:r w:rsidRPr="008A44AB">
        <w:rPr>
          <w:rFonts w:ascii="Work Sans" w:hAnsi="Work Sans"/>
          <w:szCs w:val="24"/>
        </w:rPr>
        <w:t>r_asunto</w:t>
      </w:r>
      <w:proofErr w:type="spellEnd"/>
    </w:p>
    <w:p w14:paraId="508A182B" w14:textId="77777777" w:rsidR="003A4F97" w:rsidRPr="008A44AB" w:rsidRDefault="003A4F97" w:rsidP="00407A94">
      <w:pPr>
        <w:spacing w:line="240" w:lineRule="auto"/>
        <w:ind w:right="51"/>
        <w:contextualSpacing/>
        <w:jc w:val="both"/>
        <w:rPr>
          <w:rFonts w:ascii="Work Sans" w:hAnsi="Work Sans" w:cs="Arial"/>
          <w:sz w:val="24"/>
        </w:rPr>
      </w:pPr>
    </w:p>
    <w:p w14:paraId="1652B26F"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Respetados señores, reciban un cordial saludo.</w:t>
      </w:r>
    </w:p>
    <w:p w14:paraId="7D94142D" w14:textId="77777777" w:rsidR="008A44AB" w:rsidRPr="00966301" w:rsidRDefault="008A44AB" w:rsidP="008A44AB">
      <w:pPr>
        <w:spacing w:after="0" w:line="240" w:lineRule="auto"/>
        <w:jc w:val="both"/>
        <w:rPr>
          <w:rFonts w:ascii="Work Sans" w:hAnsi="Work Sans"/>
          <w:sz w:val="24"/>
          <w:szCs w:val="24"/>
        </w:rPr>
      </w:pPr>
    </w:p>
    <w:p w14:paraId="34D709F8"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En atención a la comunicación indicada en la referencia, remitida por Oleoducto Central S.A., en adelante OCENSA, mediante la cual presenta consideraciones respecto de la comunicación emitida por esta entidad con radicado de salida  2-2026-023203 del 26 de mayo de 2026, expedida dentro del proceso de revisión y fijación tarifaria actualmente en curso, la Dirección de Hidrocarburos procede a emitir respuesta frente a los asuntos planteados, pero preliminarmente se realizará un serie de precisiones.</w:t>
      </w:r>
    </w:p>
    <w:p w14:paraId="38A6403E" w14:textId="77777777" w:rsidR="008A44AB" w:rsidRPr="00966301" w:rsidRDefault="008A44AB" w:rsidP="008A44AB">
      <w:pPr>
        <w:spacing w:after="0" w:line="240" w:lineRule="auto"/>
        <w:jc w:val="both"/>
        <w:rPr>
          <w:rFonts w:ascii="Work Sans" w:hAnsi="Work Sans"/>
          <w:sz w:val="24"/>
          <w:szCs w:val="24"/>
        </w:rPr>
      </w:pPr>
    </w:p>
    <w:p w14:paraId="5CFB597F"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Frente a las manifestaciones realizadas por OCENSA respecto de la presunta improcedencia de los requerimientos efectuados por esta Dirección, resulta necesario precisar que la facultad de solicitar información dentro de los procesos de fijación y revisión tarifaria corresponde al ejercicio de las competencias legales y regulatorias atribuidas al Ministerio de Minas y Energía y no está supeditada a la valoración que realice el transportador sobre la pertinencia, utilidad o necesidad de dicha información.</w:t>
      </w:r>
    </w:p>
    <w:p w14:paraId="31A54836" w14:textId="77777777" w:rsidR="008A44AB" w:rsidRPr="00966301" w:rsidRDefault="008A44AB" w:rsidP="008A44AB">
      <w:pPr>
        <w:spacing w:after="0" w:line="240" w:lineRule="auto"/>
        <w:jc w:val="both"/>
        <w:rPr>
          <w:rFonts w:ascii="Work Sans" w:hAnsi="Work Sans"/>
          <w:sz w:val="24"/>
          <w:szCs w:val="24"/>
        </w:rPr>
      </w:pPr>
    </w:p>
    <w:p w14:paraId="2CD008C0" w14:textId="37F76BAC"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La información requerida mediante comunicación con radicado de salida No. 2-2026-023203 del 26 de mayo de 2026</w:t>
      </w:r>
      <w:r w:rsidR="007475EB">
        <w:rPr>
          <w:rFonts w:ascii="Work Sans" w:hAnsi="Work Sans"/>
          <w:sz w:val="24"/>
          <w:szCs w:val="24"/>
        </w:rPr>
        <w:t>,</w:t>
      </w:r>
      <w:r w:rsidRPr="00966301">
        <w:rPr>
          <w:rFonts w:ascii="Work Sans" w:hAnsi="Work Sans"/>
          <w:sz w:val="24"/>
          <w:szCs w:val="24"/>
        </w:rPr>
        <w:t xml:space="preserve"> fue solicitada en ejercicio de las facultades de instrucción, análisis, evaluación y verificación inherentes al proceso de determinación tarifaria, con el propósito de validar la consistencia, trazabilidad y confiabilidad de la información presentada por la sociedad como </w:t>
      </w:r>
      <w:r w:rsidRPr="00966301">
        <w:rPr>
          <w:rFonts w:ascii="Work Sans" w:hAnsi="Work Sans"/>
          <w:sz w:val="24"/>
          <w:szCs w:val="24"/>
        </w:rPr>
        <w:lastRenderedPageBreak/>
        <w:t>soporte de la valoración del sistema de transporte y de los demás componentes considerados para la determinación de la tarifa.</w:t>
      </w:r>
    </w:p>
    <w:p w14:paraId="43EC6C04" w14:textId="77777777" w:rsidR="008A44AB" w:rsidRPr="00966301" w:rsidRDefault="008A44AB" w:rsidP="008A44AB">
      <w:pPr>
        <w:spacing w:after="0" w:line="240" w:lineRule="auto"/>
        <w:jc w:val="both"/>
        <w:rPr>
          <w:rFonts w:ascii="Work Sans" w:hAnsi="Work Sans"/>
          <w:sz w:val="24"/>
          <w:szCs w:val="24"/>
        </w:rPr>
      </w:pPr>
    </w:p>
    <w:p w14:paraId="5FF8AD1E" w14:textId="4FD0B8D7" w:rsidR="008A44AB" w:rsidRPr="00966301" w:rsidRDefault="008A44AB" w:rsidP="008A44AB">
      <w:pPr>
        <w:spacing w:after="0" w:line="240" w:lineRule="auto"/>
        <w:jc w:val="both"/>
        <w:rPr>
          <w:rFonts w:ascii="Work Sans" w:hAnsi="Work Sans"/>
          <w:i/>
          <w:iCs/>
          <w:sz w:val="24"/>
          <w:szCs w:val="24"/>
        </w:rPr>
      </w:pPr>
      <w:r w:rsidRPr="00966301">
        <w:rPr>
          <w:rFonts w:ascii="Work Sans" w:hAnsi="Work Sans"/>
          <w:sz w:val="24"/>
          <w:szCs w:val="24"/>
        </w:rPr>
        <w:t>La determinación de tarifas de transporte por oleoductos constituye una actuación administrativa de naturaleza técnica, financiera, contable, económica y jurídica, cuya finalidad es establecer una tarifa ajustada al marco regulatorio vigente y sustentada en información objetiva, verificable y suficiente. En consecuencia, la metodología tarifaria define las variables, parámetros y criterios regulatorios aplicables al proceso, pero no limita, ni agota las facultades de la Administración para requerir la información que resulte necesaria para verificar la información presentada por el transportador y sustentar debidamente la decisión administrativa correspondiente</w:t>
      </w:r>
      <w:r w:rsidR="00BE4AB9">
        <w:rPr>
          <w:rFonts w:ascii="Work Sans" w:hAnsi="Work Sans"/>
          <w:sz w:val="24"/>
          <w:szCs w:val="24"/>
        </w:rPr>
        <w:t>.</w:t>
      </w:r>
    </w:p>
    <w:p w14:paraId="621645AB" w14:textId="77777777" w:rsidR="008A44AB" w:rsidRPr="00966301" w:rsidRDefault="008A44AB" w:rsidP="008A44AB">
      <w:pPr>
        <w:spacing w:after="0" w:line="240" w:lineRule="auto"/>
        <w:jc w:val="both"/>
        <w:rPr>
          <w:rFonts w:ascii="Work Sans" w:hAnsi="Work Sans"/>
          <w:sz w:val="24"/>
          <w:szCs w:val="24"/>
        </w:rPr>
      </w:pPr>
    </w:p>
    <w:p w14:paraId="1C8E5CE5" w14:textId="77777777" w:rsidR="00BE4AB9" w:rsidRDefault="00BE4AB9" w:rsidP="00BE4AB9">
      <w:pPr>
        <w:spacing w:after="0" w:line="240" w:lineRule="auto"/>
        <w:jc w:val="both"/>
        <w:rPr>
          <w:rFonts w:ascii="Work Sans" w:hAnsi="Work Sans"/>
          <w:sz w:val="24"/>
          <w:szCs w:val="24"/>
        </w:rPr>
      </w:pPr>
      <w:r w:rsidRPr="00BE4AB9">
        <w:rPr>
          <w:rFonts w:ascii="Work Sans" w:hAnsi="Work Sans"/>
          <w:sz w:val="24"/>
          <w:szCs w:val="24"/>
        </w:rPr>
        <w:t>Ahora bien, si bien el proceso de fijación tarifaria del servicio de transporte de hidrocarburos por oleoductos se encuentra regulado por disposiciones especiales contenidas en el Código de Petróleos, la Resolución MME 72146 de 2014 y las demás normas regulatorias que desarrollan dicha materia, lo cierto es que tales disposiciones establecen principalmente los criterios, variables, parámetros y metodologías para la determinación de las tarifas, sin regular de manera integral todos los aspectos procedimentales asociados a la actuación administrativa mediante la cual la autoridad adopta la decisión tarifaria correspondiente.</w:t>
      </w:r>
    </w:p>
    <w:p w14:paraId="11A01780" w14:textId="77777777" w:rsidR="00BE4AB9" w:rsidRPr="00BE4AB9" w:rsidRDefault="00BE4AB9" w:rsidP="00BE4AB9">
      <w:pPr>
        <w:spacing w:after="0" w:line="240" w:lineRule="auto"/>
        <w:jc w:val="both"/>
        <w:rPr>
          <w:rFonts w:ascii="Work Sans" w:hAnsi="Work Sans"/>
          <w:sz w:val="24"/>
          <w:szCs w:val="24"/>
        </w:rPr>
      </w:pPr>
    </w:p>
    <w:p w14:paraId="1C8E70AB" w14:textId="77777777" w:rsidR="00BE4AB9" w:rsidRPr="00BE4AB9" w:rsidRDefault="00BE4AB9" w:rsidP="00BE4AB9">
      <w:pPr>
        <w:spacing w:after="0" w:line="240" w:lineRule="auto"/>
        <w:jc w:val="both"/>
        <w:rPr>
          <w:rFonts w:ascii="Work Sans" w:hAnsi="Work Sans"/>
          <w:sz w:val="24"/>
          <w:szCs w:val="24"/>
        </w:rPr>
      </w:pPr>
      <w:r w:rsidRPr="00BE4AB9">
        <w:rPr>
          <w:rFonts w:ascii="Work Sans" w:hAnsi="Work Sans"/>
          <w:sz w:val="24"/>
          <w:szCs w:val="24"/>
        </w:rPr>
        <w:t>En ese contexto, de conformidad con lo dispuesto en el artículo 34 de la Ley 1437 de 2011, según el cual las actuaciones administrativas se sujetarán al procedimiento administrativo común y principal previsto en dicho código, sin perjuicio de los procedimientos administrativos regulados por leyes especiales, las disposiciones del CPACA resultan aplicables al presente trámite en aquellos aspectos procedimentales que no se encuentran regulados expresamente por el régimen especial. Dentro de dichos aspectos se encuentran las facultades de instrucción de la actuación administrativa, el recaudo y valoración de pruebas, la verificación de los hechos relevantes para la decisión y el deber de motivación de los actos administrativos que pongan fin a la actuación.</w:t>
      </w:r>
    </w:p>
    <w:p w14:paraId="3A083FE7" w14:textId="77777777" w:rsidR="00766AD8" w:rsidRDefault="00766AD8" w:rsidP="008A44AB">
      <w:pPr>
        <w:spacing w:after="0" w:line="240" w:lineRule="auto"/>
        <w:jc w:val="both"/>
        <w:rPr>
          <w:rFonts w:ascii="Work Sans" w:hAnsi="Work Sans"/>
          <w:sz w:val="24"/>
          <w:szCs w:val="24"/>
        </w:rPr>
      </w:pPr>
    </w:p>
    <w:p w14:paraId="0B7B8EEF" w14:textId="512052D9" w:rsidR="008A44AB" w:rsidRPr="00966301" w:rsidRDefault="007F708B" w:rsidP="008A44AB">
      <w:pPr>
        <w:spacing w:after="0" w:line="240" w:lineRule="auto"/>
        <w:jc w:val="both"/>
        <w:rPr>
          <w:rFonts w:ascii="Work Sans" w:hAnsi="Work Sans"/>
          <w:sz w:val="24"/>
          <w:szCs w:val="24"/>
        </w:rPr>
      </w:pPr>
      <w:r>
        <w:rPr>
          <w:rFonts w:ascii="Work Sans" w:hAnsi="Work Sans"/>
          <w:sz w:val="24"/>
          <w:szCs w:val="24"/>
        </w:rPr>
        <w:t xml:space="preserve">Dicho esto, se recalca </w:t>
      </w:r>
      <w:r w:rsidR="008A44AB" w:rsidRPr="00966301">
        <w:rPr>
          <w:rFonts w:ascii="Work Sans" w:hAnsi="Work Sans"/>
          <w:sz w:val="24"/>
          <w:szCs w:val="24"/>
        </w:rPr>
        <w:t xml:space="preserve">el deber que tiene la administración de adoptar sus decisiones con base en los hechos acreditados dentro de la actuación administrativa y en las pruebas e informes disponibles. En efecto, el artículo 42 de la Ley 1437 de 2011 dispone que, una vez otorgada a los interesados la </w:t>
      </w:r>
      <w:r w:rsidR="008A44AB" w:rsidRPr="00966301">
        <w:rPr>
          <w:rFonts w:ascii="Work Sans" w:hAnsi="Work Sans"/>
          <w:sz w:val="24"/>
          <w:szCs w:val="24"/>
        </w:rPr>
        <w:lastRenderedPageBreak/>
        <w:t>oportunidad de expresar sus opiniones y con fundamento en las pruebas e informes obrantes en el expediente, la autoridad adoptará la decisión que corresponda, debidamente motivada.</w:t>
      </w:r>
    </w:p>
    <w:p w14:paraId="1E272A30" w14:textId="77777777" w:rsidR="008A44AB" w:rsidRPr="00966301" w:rsidRDefault="008A44AB" w:rsidP="008A44AB">
      <w:pPr>
        <w:spacing w:after="0" w:line="240" w:lineRule="auto"/>
        <w:jc w:val="both"/>
        <w:rPr>
          <w:rFonts w:ascii="Work Sans" w:hAnsi="Work Sans"/>
          <w:sz w:val="24"/>
          <w:szCs w:val="24"/>
        </w:rPr>
      </w:pPr>
    </w:p>
    <w:p w14:paraId="5F8A323A"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En concordancia con lo anterior, el artículo 40 de la misma ley establece que durante la actuación administrativa y hasta antes de que se profiera la decisión de fondo podrán aportarse, solicitarse y practicarse pruebas de oficio o a petición de los interesados, facultad que permite a esta entidad recaudar los elementos de juicio necesarios para verificar los hechos relevantes de la actuación y sustentar adecuadamente sus decisiones.</w:t>
      </w:r>
    </w:p>
    <w:p w14:paraId="53B5BD27" w14:textId="77777777" w:rsidR="008A44AB" w:rsidRPr="00966301" w:rsidRDefault="008A44AB" w:rsidP="008A44AB">
      <w:pPr>
        <w:spacing w:after="0" w:line="240" w:lineRule="auto"/>
        <w:jc w:val="both"/>
        <w:rPr>
          <w:rFonts w:ascii="Work Sans" w:hAnsi="Work Sans"/>
          <w:sz w:val="24"/>
          <w:szCs w:val="24"/>
        </w:rPr>
      </w:pPr>
    </w:p>
    <w:p w14:paraId="7E265216"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Bajo este entendimiento, quien pretende el reconocimiento tarifario de activos, inversiones, terrenos, servidumbres, provisiones, costos de abandono o cualquier otro componente económico susceptible de generar efectos dentro de la estructura tarifaria, debe aportar los soportes necesarios para acreditar su existencia, valoración, titularidad, tratamiento contable y procedencia. En consecuencia, no resulta jurídicamente admisible pretender el reconocimiento de determinados valores dentro de la tarifa </w:t>
      </w:r>
      <w:r w:rsidRPr="007F708B">
        <w:rPr>
          <w:rFonts w:ascii="Work Sans" w:hAnsi="Work Sans"/>
          <w:sz w:val="24"/>
          <w:szCs w:val="24"/>
        </w:rPr>
        <w:t>y, simultáneamente, sostener que la autoridad carece de facultades para solicitar la información necesaria para verificar los elementos que sirven de fundamento a tales reconocimientos.</w:t>
      </w:r>
    </w:p>
    <w:p w14:paraId="1F281CCA" w14:textId="77777777" w:rsidR="008A44AB" w:rsidRPr="00966301" w:rsidRDefault="008A44AB" w:rsidP="008A44AB">
      <w:pPr>
        <w:spacing w:after="0" w:line="240" w:lineRule="auto"/>
        <w:jc w:val="both"/>
        <w:rPr>
          <w:rFonts w:ascii="Work Sans" w:hAnsi="Work Sans"/>
          <w:sz w:val="24"/>
          <w:szCs w:val="24"/>
        </w:rPr>
      </w:pPr>
    </w:p>
    <w:p w14:paraId="60E54287" w14:textId="06743D44"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La obligación de motivar adecuadamente la decisión tarifaria impide a esta Dirección limitarse a aceptar las conclusiones contenidas en los informes, avalúos o estudios aportados por el transportador. Por el contrario, la Administración tiene el deber legal de verificar los supuestos, soportes y elementos de juicio que sustentan tales conclusiones, para lo cual puede requerir la información adicional que resulte necesaria dentro de la actuación administrativa.</w:t>
      </w:r>
    </w:p>
    <w:p w14:paraId="56362A61" w14:textId="77777777" w:rsidR="008A44AB" w:rsidRPr="00966301" w:rsidRDefault="008A44AB" w:rsidP="008A44AB">
      <w:pPr>
        <w:spacing w:after="0" w:line="240" w:lineRule="auto"/>
        <w:jc w:val="both"/>
        <w:rPr>
          <w:rFonts w:ascii="Work Sans" w:hAnsi="Work Sans"/>
          <w:sz w:val="24"/>
          <w:szCs w:val="24"/>
        </w:rPr>
      </w:pPr>
    </w:p>
    <w:p w14:paraId="7704B64F"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Adicionalmente, las funciones asignadas a la Dirección de Hidrocarburos mediante el artículo 15 del Decreto 381 de 2012 comprenden, entre otras, la formulación, adopción, seguimiento y evaluación de las políticas, planes y programas relacionados con el subsector de hidrocarburos, así como el ejercicio de las actuaciones regulatorias y administrativas que correspondan respecto de las actividades sometidas a su competencia. Tales atribuciones necesariamente comprenden la facultad de requerir, analizar y verificar la información necesaria para adoptar decisiones debidamente motivadas dentro de los procedimientos regulatorios y tarifarios a su cargo.</w:t>
      </w:r>
    </w:p>
    <w:p w14:paraId="0AD2E432" w14:textId="77777777" w:rsidR="008A44AB" w:rsidRPr="00966301" w:rsidRDefault="008A44AB" w:rsidP="008A44AB">
      <w:pPr>
        <w:spacing w:after="0" w:line="240" w:lineRule="auto"/>
        <w:jc w:val="both"/>
        <w:rPr>
          <w:rFonts w:ascii="Work Sans" w:hAnsi="Work Sans"/>
          <w:sz w:val="24"/>
          <w:szCs w:val="24"/>
        </w:rPr>
      </w:pPr>
    </w:p>
    <w:p w14:paraId="29AEE9AC" w14:textId="01689D08" w:rsidR="007E5451" w:rsidRPr="0068235F" w:rsidRDefault="008A44AB" w:rsidP="007E5451">
      <w:pPr>
        <w:spacing w:after="0" w:line="240" w:lineRule="auto"/>
        <w:jc w:val="both"/>
        <w:rPr>
          <w:rFonts w:ascii="Work Sans" w:hAnsi="Work Sans"/>
          <w:sz w:val="24"/>
          <w:szCs w:val="24"/>
        </w:rPr>
      </w:pPr>
      <w:r w:rsidRPr="00966301">
        <w:rPr>
          <w:rFonts w:ascii="Work Sans" w:hAnsi="Work Sans"/>
          <w:sz w:val="24"/>
          <w:szCs w:val="24"/>
        </w:rPr>
        <w:t xml:space="preserve">En igual sentido, el régimen aplicable al transporte por oleoductos, Resolución 00574 del del 2026, expedida por esta Dirección de Hidrocarburos, </w:t>
      </w:r>
      <w:r w:rsidR="007E5451">
        <w:rPr>
          <w:rFonts w:ascii="Work Sans" w:hAnsi="Work Sans"/>
          <w:sz w:val="24"/>
          <w:szCs w:val="24"/>
        </w:rPr>
        <w:t xml:space="preserve">la cual </w:t>
      </w:r>
      <w:r w:rsidR="00744FED">
        <w:rPr>
          <w:rFonts w:ascii="Work Sans" w:hAnsi="Work Sans"/>
          <w:sz w:val="24"/>
          <w:szCs w:val="24"/>
        </w:rPr>
        <w:t>i</w:t>
      </w:r>
      <w:r w:rsidRPr="00966301">
        <w:rPr>
          <w:rFonts w:ascii="Work Sans" w:hAnsi="Work Sans"/>
          <w:sz w:val="24"/>
          <w:szCs w:val="24"/>
        </w:rPr>
        <w:t>mpone a los transportadores el deber de suministrarnos la información que esta solicite para el ejercicio de sus funciones.</w:t>
      </w:r>
      <w:r w:rsidR="007E5451">
        <w:rPr>
          <w:rFonts w:ascii="Work Sans" w:hAnsi="Work Sans"/>
          <w:sz w:val="24"/>
          <w:szCs w:val="24"/>
        </w:rPr>
        <w:t xml:space="preserve"> Al respecto</w:t>
      </w:r>
      <w:r w:rsidR="00744FED">
        <w:rPr>
          <w:rFonts w:ascii="Work Sans" w:hAnsi="Work Sans"/>
          <w:sz w:val="24"/>
          <w:szCs w:val="24"/>
        </w:rPr>
        <w:t xml:space="preserve">, </w:t>
      </w:r>
      <w:r w:rsidR="007E5451">
        <w:rPr>
          <w:rFonts w:ascii="Work Sans" w:hAnsi="Work Sans"/>
          <w:sz w:val="24"/>
          <w:szCs w:val="24"/>
        </w:rPr>
        <w:t xml:space="preserve">es preciso citar </w:t>
      </w:r>
      <w:r w:rsidR="007E5451" w:rsidRPr="0068235F">
        <w:rPr>
          <w:rFonts w:ascii="Work Sans" w:hAnsi="Work Sans"/>
          <w:sz w:val="24"/>
          <w:szCs w:val="24"/>
        </w:rPr>
        <w:t xml:space="preserve">el numeral 22 del artículo 7, que señala que es deber del transportador: </w:t>
      </w:r>
    </w:p>
    <w:p w14:paraId="364737FD" w14:textId="77777777" w:rsidR="007E5451" w:rsidRPr="0068235F" w:rsidRDefault="007E5451" w:rsidP="007E5451">
      <w:pPr>
        <w:spacing w:after="0" w:line="240" w:lineRule="auto"/>
        <w:jc w:val="both"/>
        <w:rPr>
          <w:rFonts w:ascii="Work Sans" w:hAnsi="Work Sans"/>
          <w:sz w:val="24"/>
          <w:szCs w:val="24"/>
        </w:rPr>
      </w:pPr>
    </w:p>
    <w:p w14:paraId="653BA9D8" w14:textId="77777777" w:rsidR="007E5451" w:rsidRPr="00880F91" w:rsidRDefault="007E5451" w:rsidP="007E5451">
      <w:pPr>
        <w:spacing w:after="0" w:line="240" w:lineRule="auto"/>
        <w:jc w:val="both"/>
        <w:rPr>
          <w:rFonts w:ascii="Work Sans" w:hAnsi="Work Sans"/>
          <w:i/>
          <w:iCs/>
        </w:rPr>
      </w:pPr>
      <w:r w:rsidRPr="00880F91">
        <w:rPr>
          <w:rFonts w:ascii="Work Sans" w:hAnsi="Work Sans"/>
          <w:i/>
          <w:iCs/>
        </w:rPr>
        <w:t xml:space="preserve">“Suministrar a la Dirección de Hidrocarburos toda la información que ésta le solicite con el fin de ejercer las actividades de regulación, supervisión y control del servicio de transporte de petróleo por oleoductos.” </w:t>
      </w:r>
    </w:p>
    <w:p w14:paraId="3CEFA181" w14:textId="77777777" w:rsidR="007E5451" w:rsidRPr="0068235F" w:rsidRDefault="007E5451" w:rsidP="007E5451">
      <w:pPr>
        <w:spacing w:after="0" w:line="240" w:lineRule="auto"/>
        <w:jc w:val="both"/>
        <w:rPr>
          <w:rFonts w:ascii="Work Sans" w:hAnsi="Work Sans"/>
          <w:sz w:val="24"/>
          <w:szCs w:val="24"/>
        </w:rPr>
      </w:pPr>
    </w:p>
    <w:p w14:paraId="0BC4A70D" w14:textId="54C8746B" w:rsidR="0068235F" w:rsidRPr="00880F91" w:rsidRDefault="00744FED" w:rsidP="0068235F">
      <w:pPr>
        <w:spacing w:after="0" w:line="240" w:lineRule="auto"/>
        <w:jc w:val="both"/>
        <w:rPr>
          <w:rFonts w:ascii="Work Sans" w:hAnsi="Work Sans"/>
          <w:i/>
          <w:iCs/>
        </w:rPr>
      </w:pPr>
      <w:r>
        <w:rPr>
          <w:rFonts w:ascii="Work Sans" w:hAnsi="Work Sans"/>
          <w:sz w:val="24"/>
          <w:szCs w:val="24"/>
        </w:rPr>
        <w:t xml:space="preserve">También cabe citar </w:t>
      </w:r>
      <w:r w:rsidR="0068235F" w:rsidRPr="0068235F">
        <w:rPr>
          <w:rFonts w:ascii="Work Sans" w:hAnsi="Work Sans"/>
          <w:sz w:val="24"/>
          <w:szCs w:val="24"/>
        </w:rPr>
        <w:t xml:space="preserve">lo previsto en el numeral 02 del </w:t>
      </w:r>
      <w:r>
        <w:rPr>
          <w:rFonts w:ascii="Work Sans" w:hAnsi="Work Sans"/>
          <w:sz w:val="24"/>
          <w:szCs w:val="24"/>
        </w:rPr>
        <w:t xml:space="preserve">respectivo </w:t>
      </w:r>
      <w:r w:rsidR="007E5451" w:rsidRPr="0068235F">
        <w:rPr>
          <w:rFonts w:ascii="Work Sans" w:hAnsi="Work Sans"/>
          <w:sz w:val="24"/>
          <w:szCs w:val="24"/>
        </w:rPr>
        <w:t>artículo</w:t>
      </w:r>
      <w:r w:rsidR="0068235F" w:rsidRPr="0068235F">
        <w:rPr>
          <w:rFonts w:ascii="Work Sans" w:hAnsi="Work Sans"/>
          <w:sz w:val="24"/>
          <w:szCs w:val="24"/>
        </w:rPr>
        <w:t xml:space="preserve"> 5, que trata de las funciones de la Dirección de Hidrocarburos del Ministerio de Minas y Energía</w:t>
      </w:r>
      <w:r>
        <w:rPr>
          <w:rFonts w:ascii="Work Sans" w:hAnsi="Work Sans"/>
          <w:sz w:val="24"/>
          <w:szCs w:val="24"/>
        </w:rPr>
        <w:t xml:space="preserve">, </w:t>
      </w:r>
      <w:r w:rsidR="00880F91">
        <w:rPr>
          <w:rFonts w:ascii="Work Sans" w:hAnsi="Work Sans"/>
          <w:sz w:val="24"/>
          <w:szCs w:val="24"/>
        </w:rPr>
        <w:t xml:space="preserve">entre estas: </w:t>
      </w:r>
      <w:r w:rsidR="0068235F" w:rsidRPr="00880F91">
        <w:rPr>
          <w:rFonts w:ascii="Work Sans" w:hAnsi="Work Sans"/>
          <w:i/>
          <w:iCs/>
        </w:rPr>
        <w:t>“Determinar la metodología, fijar y revisar las tarifas de transporte de petróleo por oleoductos, acorde con lo establecido en los artículos 56 y 57 del Código de Petróleos.”</w:t>
      </w:r>
    </w:p>
    <w:p w14:paraId="2385EEA3" w14:textId="77777777" w:rsidR="0068235F" w:rsidRDefault="0068235F" w:rsidP="008A44AB">
      <w:pPr>
        <w:spacing w:after="0" w:line="240" w:lineRule="auto"/>
        <w:jc w:val="both"/>
        <w:rPr>
          <w:rFonts w:ascii="Work Sans" w:hAnsi="Work Sans"/>
          <w:sz w:val="24"/>
          <w:szCs w:val="24"/>
        </w:rPr>
      </w:pPr>
    </w:p>
    <w:p w14:paraId="27793736" w14:textId="555BD395" w:rsidR="00DA1CBB" w:rsidRDefault="00880F91" w:rsidP="0068235F">
      <w:pPr>
        <w:spacing w:after="0" w:line="240" w:lineRule="auto"/>
        <w:jc w:val="both"/>
        <w:rPr>
          <w:rFonts w:ascii="Work Sans" w:hAnsi="Work Sans"/>
          <w:sz w:val="24"/>
          <w:szCs w:val="24"/>
        </w:rPr>
      </w:pPr>
      <w:r w:rsidRPr="00DF361A">
        <w:rPr>
          <w:rFonts w:ascii="Work Sans" w:hAnsi="Work Sans"/>
          <w:sz w:val="24"/>
          <w:szCs w:val="24"/>
          <w:highlight w:val="yellow"/>
        </w:rPr>
        <w:t>Ahora, en cuanto a l</w:t>
      </w:r>
      <w:r w:rsidR="00EF08FF" w:rsidRPr="00DF361A">
        <w:rPr>
          <w:rFonts w:ascii="Work Sans" w:hAnsi="Work Sans"/>
          <w:sz w:val="24"/>
          <w:szCs w:val="24"/>
          <w:highlight w:val="yellow"/>
        </w:rPr>
        <w:t xml:space="preserve">o previsto en la Resolución 72146 de 2014, </w:t>
      </w:r>
      <w:r w:rsidR="00EF08FF" w:rsidRPr="00DF361A">
        <w:rPr>
          <w:rFonts w:ascii="Work Sans" w:hAnsi="Work Sans"/>
          <w:i/>
          <w:iCs/>
          <w:sz w:val="24"/>
          <w:szCs w:val="24"/>
          <w:highlight w:val="yellow"/>
        </w:rPr>
        <w:t>Por la cual se establece la metodología para la fijación de tarifas por el transporte de crudo por oleoductos</w:t>
      </w:r>
      <w:r w:rsidR="00EF08FF" w:rsidRPr="00DF361A">
        <w:rPr>
          <w:rFonts w:ascii="Work Sans" w:hAnsi="Work Sans"/>
          <w:sz w:val="24"/>
          <w:szCs w:val="24"/>
          <w:highlight w:val="yellow"/>
        </w:rPr>
        <w:t xml:space="preserve">”, es preciso </w:t>
      </w:r>
      <w:r w:rsidR="0063161A" w:rsidRPr="00DF361A">
        <w:rPr>
          <w:rFonts w:ascii="Work Sans" w:hAnsi="Work Sans"/>
          <w:sz w:val="24"/>
          <w:szCs w:val="24"/>
          <w:highlight w:val="yellow"/>
        </w:rPr>
        <w:t>mencionar el alcance que tiene</w:t>
      </w:r>
      <w:r w:rsidR="00436909" w:rsidRPr="00DF361A">
        <w:rPr>
          <w:rFonts w:ascii="Work Sans" w:hAnsi="Work Sans"/>
          <w:sz w:val="24"/>
          <w:szCs w:val="24"/>
          <w:highlight w:val="yellow"/>
        </w:rPr>
        <w:t xml:space="preserve"> su </w:t>
      </w:r>
      <w:proofErr w:type="spellStart"/>
      <w:r w:rsidR="00436909" w:rsidRPr="00DF361A">
        <w:rPr>
          <w:rFonts w:ascii="Work Sans" w:hAnsi="Work Sans"/>
          <w:sz w:val="24"/>
          <w:szCs w:val="24"/>
          <w:highlight w:val="yellow"/>
        </w:rPr>
        <w:t>artiuclo</w:t>
      </w:r>
      <w:proofErr w:type="spellEnd"/>
      <w:r w:rsidR="00436909" w:rsidRPr="00DF361A">
        <w:rPr>
          <w:rFonts w:ascii="Work Sans" w:hAnsi="Work Sans"/>
          <w:sz w:val="24"/>
          <w:szCs w:val="24"/>
          <w:highlight w:val="yellow"/>
        </w:rPr>
        <w:t xml:space="preserve"> 14, con el cual se </w:t>
      </w:r>
      <w:r w:rsidR="00DA1CBB" w:rsidRPr="00DF361A">
        <w:rPr>
          <w:rFonts w:ascii="Work Sans" w:hAnsi="Work Sans"/>
          <w:sz w:val="24"/>
          <w:szCs w:val="24"/>
          <w:highlight w:val="yellow"/>
        </w:rPr>
        <w:t xml:space="preserve">establece </w:t>
      </w:r>
      <w:r w:rsidR="00DF361A" w:rsidRPr="00DF361A">
        <w:rPr>
          <w:rFonts w:ascii="Work Sans" w:hAnsi="Work Sans"/>
          <w:sz w:val="24"/>
          <w:szCs w:val="24"/>
          <w:highlight w:val="yellow"/>
        </w:rPr>
        <w:t>que el transportador debe remitir información de Las inversiones de capital (I1) que el transportador haya realizado para: el aumento de la capacidad de diseño del trayecto, el mejoramiento de su confiabilidad, o el incremento de su vida útil.</w:t>
      </w:r>
    </w:p>
    <w:p w14:paraId="17A1C9B5" w14:textId="77777777" w:rsidR="00EF08FF" w:rsidRDefault="00EF08FF" w:rsidP="0068235F">
      <w:pPr>
        <w:spacing w:after="0" w:line="240" w:lineRule="auto"/>
        <w:jc w:val="both"/>
        <w:rPr>
          <w:rFonts w:ascii="Work Sans" w:hAnsi="Work Sans"/>
          <w:sz w:val="24"/>
          <w:szCs w:val="24"/>
        </w:rPr>
      </w:pPr>
    </w:p>
    <w:p w14:paraId="414C55D5" w14:textId="605315A8" w:rsidR="0068235F" w:rsidRPr="00966301" w:rsidRDefault="00DF361A" w:rsidP="0068235F">
      <w:pPr>
        <w:spacing w:after="0" w:line="240" w:lineRule="auto"/>
        <w:jc w:val="both"/>
        <w:rPr>
          <w:rFonts w:ascii="Work Sans" w:hAnsi="Work Sans"/>
          <w:i/>
          <w:iCs/>
          <w:sz w:val="24"/>
          <w:szCs w:val="24"/>
        </w:rPr>
      </w:pPr>
      <w:r>
        <w:rPr>
          <w:rFonts w:ascii="Work Sans" w:hAnsi="Work Sans"/>
          <w:sz w:val="24"/>
          <w:szCs w:val="24"/>
          <w:highlight w:val="yellow"/>
        </w:rPr>
        <w:t xml:space="preserve">(Y </w:t>
      </w:r>
      <w:r w:rsidR="0068235F" w:rsidRPr="00795095">
        <w:rPr>
          <w:rFonts w:ascii="Work Sans" w:hAnsi="Work Sans"/>
          <w:sz w:val="24"/>
          <w:szCs w:val="24"/>
          <w:highlight w:val="yellow"/>
        </w:rPr>
        <w:t>artículos 5, 7, 14 y 15</w:t>
      </w:r>
      <w:r>
        <w:rPr>
          <w:rFonts w:ascii="Work Sans" w:hAnsi="Work Sans"/>
          <w:sz w:val="24"/>
          <w:szCs w:val="24"/>
        </w:rPr>
        <w:t>)</w:t>
      </w:r>
    </w:p>
    <w:p w14:paraId="7C3967B4" w14:textId="77777777" w:rsidR="0068235F" w:rsidRPr="00966301" w:rsidRDefault="0068235F" w:rsidP="008A44AB">
      <w:pPr>
        <w:spacing w:after="0" w:line="240" w:lineRule="auto"/>
        <w:jc w:val="both"/>
        <w:rPr>
          <w:rFonts w:ascii="Work Sans" w:hAnsi="Work Sans"/>
          <w:sz w:val="24"/>
          <w:szCs w:val="24"/>
        </w:rPr>
      </w:pPr>
    </w:p>
    <w:p w14:paraId="2A8B9EE6"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Por lo anterior, esta Dirección no encuentra procedente la interpretación según la cual únicamente puede requerirse aquella información expresamente prevista en la metodología tarifaria o aquella que, a juicio del transportador, resulte necesaria para efectuar el cálculo de la tarifa, pues corresponde exclusivamente a la autoridad administrativa y regulatoria determinar los elementos de juicio requeridos para adoptar una decisión tarifaria debidamente motivada.</w:t>
      </w:r>
    </w:p>
    <w:p w14:paraId="495B9500" w14:textId="77777777" w:rsidR="008A44AB" w:rsidRPr="00966301" w:rsidRDefault="008A44AB" w:rsidP="008A44AB">
      <w:pPr>
        <w:spacing w:after="0" w:line="240" w:lineRule="auto"/>
        <w:jc w:val="both"/>
        <w:rPr>
          <w:rFonts w:ascii="Work Sans" w:hAnsi="Work Sans"/>
          <w:sz w:val="24"/>
          <w:szCs w:val="24"/>
        </w:rPr>
      </w:pPr>
    </w:p>
    <w:p w14:paraId="59700AB9"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Finalmente, en cuanto a las consideraciones relacionadas con la complejidad operativa, el volumen documental o los esfuerzos administrativos que implique la recopilación de la información solicitada no desvirtúan la obligación de colaboración con la administración, ni limitan las facultades de esta Dirección </w:t>
      </w:r>
      <w:r w:rsidRPr="00966301">
        <w:rPr>
          <w:rFonts w:ascii="Work Sans" w:hAnsi="Work Sans"/>
          <w:sz w:val="24"/>
          <w:szCs w:val="24"/>
        </w:rPr>
        <w:lastRenderedPageBreak/>
        <w:t>para requerir los documentos que considere necesarios para el cumplimiento de sus funciones. Tales circunstancias podrán ser valoradas para efectos de definir mecanismos razonables de entrega, organización o presentación de la información, pero no constituyen fundamento suficiente para relevar al transportador de su obligación de aportarla.</w:t>
      </w:r>
    </w:p>
    <w:p w14:paraId="3A58405C" w14:textId="77777777" w:rsidR="008A44AB" w:rsidRPr="00966301" w:rsidRDefault="008A44AB" w:rsidP="008A44AB">
      <w:pPr>
        <w:spacing w:after="0" w:line="240" w:lineRule="auto"/>
        <w:jc w:val="both"/>
        <w:rPr>
          <w:rFonts w:ascii="Work Sans" w:hAnsi="Work Sans"/>
          <w:sz w:val="24"/>
          <w:szCs w:val="24"/>
        </w:rPr>
      </w:pPr>
    </w:p>
    <w:p w14:paraId="1E3EF374" w14:textId="1D38C4A6" w:rsidR="008A44AB" w:rsidRPr="00966301" w:rsidRDefault="0028378C" w:rsidP="008A44AB">
      <w:pPr>
        <w:spacing w:after="0" w:line="240" w:lineRule="auto"/>
        <w:jc w:val="both"/>
        <w:rPr>
          <w:rFonts w:ascii="Work Sans" w:hAnsi="Work Sans"/>
          <w:sz w:val="24"/>
          <w:szCs w:val="24"/>
        </w:rPr>
      </w:pPr>
      <w:r w:rsidRPr="0028378C">
        <w:rPr>
          <w:rFonts w:ascii="Work Sans" w:hAnsi="Work Sans"/>
          <w:sz w:val="24"/>
          <w:szCs w:val="24"/>
        </w:rPr>
        <w:t xml:space="preserve">Por lo tanto, se reitera </w:t>
      </w:r>
      <w:proofErr w:type="spellStart"/>
      <w:r w:rsidRPr="0028378C">
        <w:rPr>
          <w:rFonts w:ascii="Work Sans" w:hAnsi="Work Sans"/>
          <w:sz w:val="24"/>
          <w:szCs w:val="24"/>
        </w:rPr>
        <w:t>e</w:t>
      </w:r>
      <w:r w:rsidR="008A44AB" w:rsidRPr="0028378C">
        <w:rPr>
          <w:rFonts w:ascii="Work Sans" w:hAnsi="Work Sans"/>
          <w:sz w:val="24"/>
          <w:szCs w:val="24"/>
        </w:rPr>
        <w:t>I</w:t>
      </w:r>
      <w:proofErr w:type="spellEnd"/>
      <w:r>
        <w:rPr>
          <w:rFonts w:ascii="Work Sans" w:hAnsi="Work Sans"/>
          <w:sz w:val="24"/>
          <w:szCs w:val="24"/>
        </w:rPr>
        <w:t xml:space="preserve"> req</w:t>
      </w:r>
      <w:r w:rsidR="00D9590E">
        <w:rPr>
          <w:rFonts w:ascii="Work Sans" w:hAnsi="Work Sans"/>
          <w:sz w:val="24"/>
          <w:szCs w:val="24"/>
        </w:rPr>
        <w:t>uerimiento</w:t>
      </w:r>
      <w:r>
        <w:rPr>
          <w:rFonts w:ascii="Work Sans" w:hAnsi="Work Sans"/>
          <w:sz w:val="24"/>
          <w:szCs w:val="24"/>
        </w:rPr>
        <w:t xml:space="preserve"> de información adicional indicad</w:t>
      </w:r>
      <w:r w:rsidR="00D9590E">
        <w:rPr>
          <w:rFonts w:ascii="Work Sans" w:hAnsi="Work Sans"/>
          <w:sz w:val="24"/>
          <w:szCs w:val="24"/>
        </w:rPr>
        <w:t>o</w:t>
      </w:r>
      <w:r>
        <w:rPr>
          <w:rFonts w:ascii="Work Sans" w:hAnsi="Work Sans"/>
          <w:sz w:val="24"/>
          <w:szCs w:val="24"/>
        </w:rPr>
        <w:t xml:space="preserve"> en la respuesta con radicado </w:t>
      </w:r>
      <w:r w:rsidR="00D9590E" w:rsidRPr="00D9590E">
        <w:rPr>
          <w:rFonts w:ascii="Work Sans" w:hAnsi="Work Sans"/>
          <w:sz w:val="24"/>
          <w:szCs w:val="24"/>
        </w:rPr>
        <w:t>2-2026-023203</w:t>
      </w:r>
      <w:r w:rsidR="00D9590E">
        <w:rPr>
          <w:rFonts w:ascii="Work Sans" w:hAnsi="Work Sans"/>
          <w:sz w:val="24"/>
          <w:szCs w:val="24"/>
        </w:rPr>
        <w:t xml:space="preserve">, precisando que </w:t>
      </w:r>
      <w:r w:rsidR="007755B8">
        <w:rPr>
          <w:rFonts w:ascii="Work Sans" w:hAnsi="Work Sans"/>
          <w:sz w:val="24"/>
          <w:szCs w:val="24"/>
        </w:rPr>
        <w:t>la información que allegue</w:t>
      </w:r>
      <w:r w:rsidR="008425C8">
        <w:rPr>
          <w:rFonts w:ascii="Work Sans" w:hAnsi="Work Sans"/>
          <w:sz w:val="24"/>
          <w:szCs w:val="24"/>
        </w:rPr>
        <w:t xml:space="preserve"> OCENSA</w:t>
      </w:r>
      <w:r w:rsidR="007755B8">
        <w:rPr>
          <w:rFonts w:ascii="Work Sans" w:hAnsi="Work Sans"/>
          <w:sz w:val="24"/>
          <w:szCs w:val="24"/>
        </w:rPr>
        <w:t xml:space="preserve"> debe ser aquella que guarde directa relación con </w:t>
      </w:r>
      <w:proofErr w:type="spellStart"/>
      <w:r w:rsidR="007755B8">
        <w:rPr>
          <w:rFonts w:ascii="Work Sans" w:hAnsi="Work Sans"/>
          <w:sz w:val="24"/>
          <w:szCs w:val="24"/>
        </w:rPr>
        <w:t>lo</w:t>
      </w:r>
      <w:proofErr w:type="spellEnd"/>
      <w:r w:rsidR="007755B8">
        <w:rPr>
          <w:rFonts w:ascii="Work Sans" w:hAnsi="Work Sans"/>
          <w:sz w:val="24"/>
          <w:szCs w:val="24"/>
        </w:rPr>
        <w:t xml:space="preserve"> </w:t>
      </w:r>
      <w:r w:rsidR="008425C8">
        <w:rPr>
          <w:rFonts w:ascii="Work Sans" w:hAnsi="Work Sans"/>
          <w:sz w:val="24"/>
          <w:szCs w:val="24"/>
        </w:rPr>
        <w:t>archivos</w:t>
      </w:r>
      <w:r w:rsidR="007755B8">
        <w:rPr>
          <w:rFonts w:ascii="Work Sans" w:hAnsi="Work Sans"/>
          <w:sz w:val="24"/>
          <w:szCs w:val="24"/>
        </w:rPr>
        <w:t>, lo cual implica un trabajo previo</w:t>
      </w:r>
      <w:r w:rsidR="008425C8">
        <w:rPr>
          <w:rFonts w:ascii="Work Sans" w:hAnsi="Work Sans"/>
          <w:sz w:val="24"/>
          <w:szCs w:val="24"/>
        </w:rPr>
        <w:t xml:space="preserve"> </w:t>
      </w:r>
      <w:r w:rsidR="007755B8">
        <w:rPr>
          <w:rFonts w:ascii="Work Sans" w:hAnsi="Work Sans"/>
          <w:sz w:val="24"/>
          <w:szCs w:val="24"/>
        </w:rPr>
        <w:t xml:space="preserve">de </w:t>
      </w:r>
      <w:r w:rsidR="008425C8">
        <w:rPr>
          <w:rFonts w:ascii="Work Sans" w:hAnsi="Work Sans"/>
          <w:sz w:val="24"/>
          <w:szCs w:val="24"/>
        </w:rPr>
        <w:t>revisión</w:t>
      </w:r>
      <w:r w:rsidR="007755B8">
        <w:rPr>
          <w:rFonts w:ascii="Work Sans" w:hAnsi="Work Sans"/>
          <w:sz w:val="24"/>
          <w:szCs w:val="24"/>
        </w:rPr>
        <w:t xml:space="preserve"> y depuración</w:t>
      </w:r>
      <w:r w:rsidR="008425C8">
        <w:rPr>
          <w:rFonts w:ascii="Work Sans" w:hAnsi="Work Sans"/>
          <w:sz w:val="24"/>
          <w:szCs w:val="24"/>
        </w:rPr>
        <w:t xml:space="preserve">, con el fin de </w:t>
      </w:r>
      <w:r w:rsidR="008A44AB" w:rsidRPr="0028378C">
        <w:rPr>
          <w:rFonts w:ascii="Work Sans" w:hAnsi="Work Sans"/>
          <w:sz w:val="24"/>
          <w:szCs w:val="24"/>
        </w:rPr>
        <w:t>evitar reprocesos</w:t>
      </w:r>
      <w:r w:rsidR="008A44AB" w:rsidRPr="00966301">
        <w:rPr>
          <w:rFonts w:ascii="Work Sans" w:hAnsi="Work Sans"/>
          <w:sz w:val="24"/>
          <w:szCs w:val="24"/>
        </w:rPr>
        <w:t xml:space="preserve">: </w:t>
      </w:r>
    </w:p>
    <w:p w14:paraId="13CD1ABA" w14:textId="77777777" w:rsidR="008A44AB" w:rsidRDefault="008A44AB" w:rsidP="008A44AB">
      <w:pPr>
        <w:spacing w:after="0" w:line="240" w:lineRule="auto"/>
        <w:jc w:val="both"/>
        <w:rPr>
          <w:rFonts w:ascii="Work Sans" w:hAnsi="Work Sans"/>
          <w:sz w:val="24"/>
          <w:szCs w:val="24"/>
        </w:rPr>
      </w:pPr>
    </w:p>
    <w:p w14:paraId="006E544B" w14:textId="73B32691" w:rsidR="007D38CC" w:rsidRPr="008425C8" w:rsidRDefault="007D38CC" w:rsidP="007D38CC">
      <w:pPr>
        <w:spacing w:after="0" w:line="240" w:lineRule="auto"/>
        <w:jc w:val="both"/>
        <w:rPr>
          <w:rFonts w:ascii="Work Sans" w:hAnsi="Work Sans"/>
          <w:i/>
          <w:iCs/>
          <w:sz w:val="24"/>
          <w:szCs w:val="24"/>
        </w:rPr>
      </w:pPr>
      <w:r w:rsidRPr="008425C8">
        <w:rPr>
          <w:rFonts w:ascii="Work Sans" w:hAnsi="Work Sans"/>
          <w:i/>
          <w:iCs/>
          <w:sz w:val="24"/>
          <w:szCs w:val="24"/>
        </w:rPr>
        <w:t>1. Diligenciar y remitir el Anexo 1 – Valoración de Activos, debidamente suscrito por el representante legal, contador y revisor fiscal.</w:t>
      </w:r>
    </w:p>
    <w:p w14:paraId="751F05E6" w14:textId="0967A3AE" w:rsidR="007D38CC" w:rsidRPr="008425C8" w:rsidRDefault="007D38CC" w:rsidP="007D38CC">
      <w:pPr>
        <w:spacing w:after="0" w:line="240" w:lineRule="auto"/>
        <w:jc w:val="both"/>
        <w:rPr>
          <w:rFonts w:ascii="Work Sans" w:hAnsi="Work Sans"/>
          <w:i/>
          <w:iCs/>
          <w:sz w:val="24"/>
          <w:szCs w:val="24"/>
        </w:rPr>
      </w:pPr>
      <w:r w:rsidRPr="008425C8">
        <w:rPr>
          <w:rFonts w:ascii="Work Sans" w:hAnsi="Work Sans"/>
          <w:i/>
          <w:iCs/>
          <w:sz w:val="24"/>
          <w:szCs w:val="24"/>
        </w:rPr>
        <w:t>2.Presentar los estados financieros separados y comparativos, junto con sus respectivas notas explicativas comparativas, debidamente suscritos por el representante legal, contador y revisor fiscal para los periodos 2022- 2023, 2024 y 2025.</w:t>
      </w:r>
    </w:p>
    <w:p w14:paraId="131C6ED4" w14:textId="24F002BB" w:rsidR="007D38CC" w:rsidRPr="008425C8" w:rsidRDefault="007D38CC" w:rsidP="007D38CC">
      <w:pPr>
        <w:spacing w:after="0" w:line="240" w:lineRule="auto"/>
        <w:jc w:val="both"/>
        <w:rPr>
          <w:rFonts w:ascii="Work Sans" w:hAnsi="Work Sans"/>
          <w:i/>
          <w:iCs/>
          <w:sz w:val="24"/>
          <w:szCs w:val="24"/>
        </w:rPr>
      </w:pPr>
      <w:r w:rsidRPr="008425C8">
        <w:rPr>
          <w:rFonts w:ascii="Work Sans" w:hAnsi="Work Sans"/>
          <w:i/>
          <w:iCs/>
          <w:sz w:val="24"/>
          <w:szCs w:val="24"/>
        </w:rPr>
        <w:t>3. Remitir la factura del impuesto predial correspondiente a la vigencia 2026 de cada uno de los predios discriminados en el informe presentado.</w:t>
      </w:r>
    </w:p>
    <w:p w14:paraId="57EB8DF9" w14:textId="36021076" w:rsidR="0028378C" w:rsidRPr="008425C8" w:rsidRDefault="0028378C" w:rsidP="0028378C">
      <w:pPr>
        <w:spacing w:after="0" w:line="240" w:lineRule="auto"/>
        <w:jc w:val="both"/>
        <w:rPr>
          <w:rFonts w:ascii="Work Sans" w:hAnsi="Work Sans"/>
          <w:i/>
          <w:iCs/>
          <w:sz w:val="24"/>
          <w:szCs w:val="24"/>
        </w:rPr>
      </w:pPr>
      <w:r w:rsidRPr="008425C8">
        <w:rPr>
          <w:rFonts w:ascii="Work Sans" w:hAnsi="Work Sans"/>
          <w:i/>
          <w:iCs/>
          <w:sz w:val="24"/>
          <w:szCs w:val="24"/>
        </w:rPr>
        <w:t>4. Aportar la escritura pública que soporte el valor de las servidumbres constituidas, e informe con la relación de aquellas, certificado por el revisor fiscal.</w:t>
      </w:r>
    </w:p>
    <w:p w14:paraId="23523873" w14:textId="745FEA6A" w:rsidR="007D38CC" w:rsidRPr="008425C8" w:rsidRDefault="0028378C" w:rsidP="0028378C">
      <w:pPr>
        <w:spacing w:after="0" w:line="240" w:lineRule="auto"/>
        <w:jc w:val="both"/>
        <w:rPr>
          <w:rFonts w:ascii="Work Sans" w:hAnsi="Work Sans"/>
          <w:i/>
          <w:iCs/>
          <w:sz w:val="24"/>
          <w:szCs w:val="24"/>
        </w:rPr>
      </w:pPr>
      <w:r w:rsidRPr="008425C8">
        <w:rPr>
          <w:rFonts w:ascii="Work Sans" w:hAnsi="Work Sans"/>
          <w:i/>
          <w:iCs/>
          <w:sz w:val="24"/>
          <w:szCs w:val="24"/>
        </w:rPr>
        <w:t>5. Presentar una certificación suscrita por el representante legal y el revisor fiscal de la sociedad, mediante la cual se avalen los resultados de la auditoría y la información consignada en el Anexo 1 – Valoración de Activos.</w:t>
      </w:r>
    </w:p>
    <w:p w14:paraId="1FEB7C8B" w14:textId="77777777" w:rsidR="007D38CC" w:rsidRDefault="007D38CC" w:rsidP="008A44AB">
      <w:pPr>
        <w:spacing w:after="0" w:line="240" w:lineRule="auto"/>
        <w:jc w:val="both"/>
        <w:rPr>
          <w:rFonts w:ascii="Work Sans" w:hAnsi="Work Sans"/>
          <w:sz w:val="24"/>
          <w:szCs w:val="24"/>
        </w:rPr>
      </w:pPr>
    </w:p>
    <w:p w14:paraId="60787681" w14:textId="77777777" w:rsidR="007D38CC" w:rsidRDefault="007D38CC" w:rsidP="008A44AB">
      <w:pPr>
        <w:spacing w:after="0" w:line="240" w:lineRule="auto"/>
        <w:jc w:val="both"/>
        <w:rPr>
          <w:rFonts w:ascii="Work Sans" w:hAnsi="Work Sans"/>
          <w:sz w:val="24"/>
          <w:szCs w:val="24"/>
        </w:rPr>
      </w:pPr>
    </w:p>
    <w:p w14:paraId="775BC4A9" w14:textId="77777777" w:rsidR="007D38CC" w:rsidRDefault="007D38CC" w:rsidP="008A44AB">
      <w:pPr>
        <w:spacing w:after="0" w:line="240" w:lineRule="auto"/>
        <w:jc w:val="both"/>
        <w:rPr>
          <w:rFonts w:ascii="Work Sans" w:hAnsi="Work Sans"/>
          <w:sz w:val="24"/>
          <w:szCs w:val="24"/>
        </w:rPr>
      </w:pPr>
    </w:p>
    <w:p w14:paraId="57C47120" w14:textId="77777777" w:rsidR="007D38CC" w:rsidRDefault="007D38CC" w:rsidP="008A44AB">
      <w:pPr>
        <w:spacing w:after="0" w:line="240" w:lineRule="auto"/>
        <w:jc w:val="both"/>
        <w:rPr>
          <w:rFonts w:ascii="Work Sans" w:hAnsi="Work Sans"/>
          <w:sz w:val="24"/>
          <w:szCs w:val="24"/>
        </w:rPr>
      </w:pPr>
    </w:p>
    <w:p w14:paraId="50F6D6A6" w14:textId="77777777" w:rsidR="007D38CC" w:rsidRDefault="007D38CC" w:rsidP="008A44AB">
      <w:pPr>
        <w:spacing w:after="0" w:line="240" w:lineRule="auto"/>
        <w:jc w:val="both"/>
        <w:rPr>
          <w:rFonts w:ascii="Work Sans" w:hAnsi="Work Sans"/>
          <w:sz w:val="24"/>
          <w:szCs w:val="24"/>
        </w:rPr>
      </w:pPr>
    </w:p>
    <w:p w14:paraId="0A3A4917" w14:textId="77777777" w:rsidR="007D38CC" w:rsidRDefault="007D38CC" w:rsidP="008A44AB">
      <w:pPr>
        <w:spacing w:after="0" w:line="240" w:lineRule="auto"/>
        <w:jc w:val="both"/>
        <w:rPr>
          <w:rFonts w:ascii="Work Sans" w:hAnsi="Work Sans"/>
          <w:sz w:val="24"/>
          <w:szCs w:val="24"/>
        </w:rPr>
      </w:pPr>
    </w:p>
    <w:p w14:paraId="5C2D9F2E" w14:textId="77777777" w:rsidR="007D38CC" w:rsidRDefault="007D38CC" w:rsidP="008A44AB">
      <w:pPr>
        <w:spacing w:after="0" w:line="240" w:lineRule="auto"/>
        <w:jc w:val="both"/>
        <w:rPr>
          <w:rFonts w:ascii="Work Sans" w:hAnsi="Work Sans"/>
          <w:sz w:val="24"/>
          <w:szCs w:val="24"/>
        </w:rPr>
      </w:pPr>
    </w:p>
    <w:p w14:paraId="0F46896E" w14:textId="77777777" w:rsidR="007D38CC" w:rsidRDefault="007D38CC" w:rsidP="008A44AB">
      <w:pPr>
        <w:spacing w:after="0" w:line="240" w:lineRule="auto"/>
        <w:jc w:val="both"/>
        <w:rPr>
          <w:rFonts w:ascii="Work Sans" w:hAnsi="Work Sans"/>
          <w:sz w:val="24"/>
          <w:szCs w:val="24"/>
        </w:rPr>
      </w:pPr>
    </w:p>
    <w:p w14:paraId="15C4957F" w14:textId="77777777" w:rsidR="007D38CC" w:rsidRDefault="007D38CC" w:rsidP="008A44AB">
      <w:pPr>
        <w:spacing w:after="0" w:line="240" w:lineRule="auto"/>
        <w:jc w:val="both"/>
        <w:rPr>
          <w:rFonts w:ascii="Work Sans" w:hAnsi="Work Sans"/>
          <w:sz w:val="24"/>
          <w:szCs w:val="24"/>
        </w:rPr>
      </w:pPr>
    </w:p>
    <w:p w14:paraId="100681DD" w14:textId="77777777" w:rsidR="007D38CC" w:rsidRDefault="007D38CC" w:rsidP="008A44AB">
      <w:pPr>
        <w:spacing w:after="0" w:line="240" w:lineRule="auto"/>
        <w:jc w:val="both"/>
        <w:rPr>
          <w:rFonts w:ascii="Work Sans" w:hAnsi="Work Sans"/>
          <w:sz w:val="24"/>
          <w:szCs w:val="24"/>
        </w:rPr>
      </w:pPr>
    </w:p>
    <w:p w14:paraId="6CC51720" w14:textId="77777777" w:rsidR="007D38CC" w:rsidRDefault="007D38CC" w:rsidP="008A44AB">
      <w:pPr>
        <w:spacing w:after="0" w:line="240" w:lineRule="auto"/>
        <w:jc w:val="both"/>
        <w:rPr>
          <w:rFonts w:ascii="Work Sans" w:hAnsi="Work Sans"/>
          <w:sz w:val="24"/>
          <w:szCs w:val="24"/>
        </w:rPr>
      </w:pPr>
    </w:p>
    <w:p w14:paraId="24463E5F" w14:textId="77777777" w:rsidR="007D38CC" w:rsidRDefault="007D38CC" w:rsidP="008A44AB">
      <w:pPr>
        <w:spacing w:after="0" w:line="240" w:lineRule="auto"/>
        <w:jc w:val="both"/>
        <w:rPr>
          <w:rFonts w:ascii="Work Sans" w:hAnsi="Work Sans"/>
          <w:sz w:val="24"/>
          <w:szCs w:val="24"/>
        </w:rPr>
      </w:pPr>
    </w:p>
    <w:p w14:paraId="0EE8FF7D" w14:textId="77777777" w:rsidR="007D38CC" w:rsidRDefault="007D38CC" w:rsidP="008A44AB">
      <w:pPr>
        <w:spacing w:after="0" w:line="240" w:lineRule="auto"/>
        <w:jc w:val="both"/>
        <w:rPr>
          <w:rFonts w:ascii="Work Sans" w:hAnsi="Work Sans"/>
          <w:sz w:val="24"/>
          <w:szCs w:val="24"/>
        </w:rPr>
      </w:pPr>
    </w:p>
    <w:p w14:paraId="1915AF2B" w14:textId="77777777" w:rsidR="007D38CC" w:rsidRDefault="007D38CC" w:rsidP="008A44AB">
      <w:pPr>
        <w:spacing w:after="0" w:line="240" w:lineRule="auto"/>
        <w:jc w:val="both"/>
        <w:rPr>
          <w:rFonts w:ascii="Work Sans" w:hAnsi="Work Sans"/>
          <w:sz w:val="24"/>
          <w:szCs w:val="24"/>
        </w:rPr>
      </w:pPr>
    </w:p>
    <w:p w14:paraId="0D9CCA2E" w14:textId="77777777" w:rsidR="007D38CC" w:rsidRDefault="007D38CC" w:rsidP="008A44AB">
      <w:pPr>
        <w:spacing w:after="0" w:line="240" w:lineRule="auto"/>
        <w:jc w:val="both"/>
        <w:rPr>
          <w:rFonts w:ascii="Work Sans" w:hAnsi="Work Sans"/>
          <w:sz w:val="24"/>
          <w:szCs w:val="24"/>
        </w:rPr>
      </w:pPr>
    </w:p>
    <w:p w14:paraId="01FBC9BC" w14:textId="77777777" w:rsidR="007D38CC" w:rsidRDefault="007D38CC" w:rsidP="008A44AB">
      <w:pPr>
        <w:spacing w:after="0" w:line="240" w:lineRule="auto"/>
        <w:jc w:val="both"/>
        <w:rPr>
          <w:rFonts w:ascii="Work Sans" w:hAnsi="Work Sans"/>
          <w:sz w:val="24"/>
          <w:szCs w:val="24"/>
        </w:rPr>
      </w:pPr>
    </w:p>
    <w:p w14:paraId="70873061" w14:textId="77777777" w:rsidR="007D38CC" w:rsidRDefault="007D38CC" w:rsidP="008A44AB">
      <w:pPr>
        <w:spacing w:after="0" w:line="240" w:lineRule="auto"/>
        <w:jc w:val="both"/>
        <w:rPr>
          <w:rFonts w:ascii="Work Sans" w:hAnsi="Work Sans"/>
          <w:sz w:val="24"/>
          <w:szCs w:val="24"/>
        </w:rPr>
      </w:pPr>
    </w:p>
    <w:p w14:paraId="03EC4BA9" w14:textId="77777777" w:rsidR="007D38CC" w:rsidRPr="00966301" w:rsidRDefault="007D38CC" w:rsidP="008A44AB">
      <w:pPr>
        <w:spacing w:after="0" w:line="240" w:lineRule="auto"/>
        <w:jc w:val="both"/>
        <w:rPr>
          <w:rFonts w:ascii="Work Sans" w:hAnsi="Work Sans"/>
          <w:sz w:val="24"/>
          <w:szCs w:val="24"/>
        </w:rPr>
      </w:pPr>
    </w:p>
    <w:p w14:paraId="5F6BB16A" w14:textId="731CBA68" w:rsidR="008A44AB" w:rsidRPr="00EB03C3" w:rsidRDefault="008A44AB" w:rsidP="004D2EFF">
      <w:pPr>
        <w:pStyle w:val="Prrafodelista"/>
        <w:numPr>
          <w:ilvl w:val="0"/>
          <w:numId w:val="1"/>
        </w:numPr>
        <w:spacing w:after="0" w:line="240" w:lineRule="auto"/>
        <w:ind w:left="0"/>
        <w:jc w:val="both"/>
        <w:rPr>
          <w:rFonts w:ascii="Work Sans" w:hAnsi="Work Sans"/>
        </w:rPr>
      </w:pPr>
      <w:r w:rsidRPr="00EB03C3">
        <w:rPr>
          <w:rFonts w:ascii="Work Sans" w:hAnsi="Work Sans"/>
          <w:b/>
          <w:bCs/>
        </w:rPr>
        <w:t>Sobre la vigencia de las tarifas</w:t>
      </w:r>
      <w:r w:rsidR="00EB03C3" w:rsidRPr="00EB03C3">
        <w:rPr>
          <w:rFonts w:ascii="Work Sans" w:hAnsi="Work Sans"/>
          <w:b/>
          <w:bCs/>
        </w:rPr>
        <w:t>.</w:t>
      </w:r>
    </w:p>
    <w:p w14:paraId="0F566316" w14:textId="77777777" w:rsidR="00EB03C3" w:rsidRPr="00EB03C3" w:rsidRDefault="00EB03C3" w:rsidP="00EB03C3">
      <w:pPr>
        <w:pStyle w:val="Prrafodelista"/>
        <w:spacing w:after="0" w:line="240" w:lineRule="auto"/>
        <w:ind w:left="0"/>
        <w:jc w:val="both"/>
        <w:rPr>
          <w:rFonts w:ascii="Work Sans" w:hAnsi="Work Sans"/>
          <w:sz w:val="28"/>
          <w:szCs w:val="28"/>
        </w:rPr>
      </w:pPr>
    </w:p>
    <w:p w14:paraId="2669896E" w14:textId="1A3F2638" w:rsidR="004B3FB6"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Frente a las manifestaciones de OCENSA relacionadas con la vigencia de las tarifas que resulten del proceso en curso, esta Dirección precisa </w:t>
      </w:r>
      <w:r w:rsidR="004B3FB6">
        <w:rPr>
          <w:rFonts w:ascii="Work Sans" w:hAnsi="Work Sans"/>
          <w:sz w:val="24"/>
          <w:szCs w:val="24"/>
        </w:rPr>
        <w:t>lo</w:t>
      </w:r>
      <w:r w:rsidR="00BA73F3">
        <w:rPr>
          <w:rFonts w:ascii="Work Sans" w:hAnsi="Work Sans"/>
          <w:sz w:val="24"/>
          <w:szCs w:val="24"/>
        </w:rPr>
        <w:t>s</w:t>
      </w:r>
      <w:r w:rsidR="004B3FB6">
        <w:rPr>
          <w:rFonts w:ascii="Work Sans" w:hAnsi="Work Sans"/>
          <w:sz w:val="24"/>
          <w:szCs w:val="24"/>
        </w:rPr>
        <w:t xml:space="preserve"> siguiente</w:t>
      </w:r>
      <w:r w:rsidR="00BA73F3">
        <w:rPr>
          <w:rFonts w:ascii="Work Sans" w:hAnsi="Work Sans"/>
          <w:sz w:val="24"/>
          <w:szCs w:val="24"/>
        </w:rPr>
        <w:t>s puntos</w:t>
      </w:r>
      <w:r w:rsidR="004B3FB6">
        <w:rPr>
          <w:rFonts w:ascii="Work Sans" w:hAnsi="Work Sans"/>
          <w:sz w:val="24"/>
          <w:szCs w:val="24"/>
        </w:rPr>
        <w:t xml:space="preserve">: </w:t>
      </w:r>
    </w:p>
    <w:p w14:paraId="14D7013C" w14:textId="77777777" w:rsidR="004B3FB6" w:rsidRDefault="004B3FB6" w:rsidP="008A44AB">
      <w:pPr>
        <w:spacing w:after="0" w:line="240" w:lineRule="auto"/>
        <w:jc w:val="both"/>
        <w:rPr>
          <w:rFonts w:ascii="Work Sans" w:hAnsi="Work Sans"/>
          <w:sz w:val="24"/>
          <w:szCs w:val="24"/>
        </w:rPr>
      </w:pPr>
    </w:p>
    <w:p w14:paraId="38273262" w14:textId="28304CB4" w:rsidR="00373022" w:rsidRDefault="00B06058" w:rsidP="008A44AB">
      <w:pPr>
        <w:spacing w:after="0" w:line="240" w:lineRule="auto"/>
        <w:jc w:val="both"/>
        <w:rPr>
          <w:rFonts w:ascii="Work Sans" w:hAnsi="Work Sans"/>
          <w:sz w:val="24"/>
          <w:szCs w:val="24"/>
        </w:rPr>
      </w:pPr>
      <w:r>
        <w:rPr>
          <w:rFonts w:ascii="Work Sans" w:hAnsi="Work Sans"/>
          <w:sz w:val="24"/>
          <w:szCs w:val="24"/>
        </w:rPr>
        <w:t>En cuanto a l</w:t>
      </w:r>
      <w:r w:rsidR="00B17E39" w:rsidRPr="00B17E39">
        <w:rPr>
          <w:rFonts w:ascii="Work Sans" w:hAnsi="Work Sans"/>
          <w:sz w:val="24"/>
          <w:szCs w:val="24"/>
        </w:rPr>
        <w:t>a actuación administrativa con la cual se defina la tarifa</w:t>
      </w:r>
      <w:r>
        <w:rPr>
          <w:rFonts w:ascii="Work Sans" w:hAnsi="Work Sans"/>
          <w:sz w:val="24"/>
          <w:szCs w:val="24"/>
        </w:rPr>
        <w:t xml:space="preserve"> de OCENSA para el </w:t>
      </w:r>
      <w:r w:rsidR="00233446">
        <w:rPr>
          <w:rFonts w:ascii="Work Sans" w:hAnsi="Work Sans"/>
          <w:sz w:val="24"/>
          <w:szCs w:val="24"/>
        </w:rPr>
        <w:t>próximo</w:t>
      </w:r>
      <w:r>
        <w:rPr>
          <w:rFonts w:ascii="Work Sans" w:hAnsi="Work Sans"/>
          <w:sz w:val="24"/>
          <w:szCs w:val="24"/>
        </w:rPr>
        <w:t xml:space="preserve"> periodo tarifario</w:t>
      </w:r>
      <w:r w:rsidR="00233446">
        <w:rPr>
          <w:rFonts w:ascii="Work Sans" w:hAnsi="Work Sans"/>
          <w:sz w:val="24"/>
          <w:szCs w:val="24"/>
        </w:rPr>
        <w:t xml:space="preserve">, se les informa </w:t>
      </w:r>
      <w:r w:rsidR="00CB417F">
        <w:rPr>
          <w:rFonts w:ascii="Work Sans" w:hAnsi="Work Sans"/>
          <w:sz w:val="24"/>
          <w:szCs w:val="24"/>
        </w:rPr>
        <w:t xml:space="preserve">que no existe un término </w:t>
      </w:r>
      <w:r w:rsidR="00CB417F" w:rsidRPr="00966301">
        <w:rPr>
          <w:rFonts w:ascii="Work Sans" w:hAnsi="Work Sans"/>
          <w:sz w:val="24"/>
          <w:szCs w:val="24"/>
        </w:rPr>
        <w:t>perentorio</w:t>
      </w:r>
      <w:r w:rsidR="00CB417F">
        <w:rPr>
          <w:rFonts w:ascii="Work Sans" w:hAnsi="Work Sans"/>
          <w:sz w:val="24"/>
          <w:szCs w:val="24"/>
        </w:rPr>
        <w:t xml:space="preserve"> para su expedición</w:t>
      </w:r>
      <w:r w:rsidR="00CB417F" w:rsidRPr="00966301">
        <w:rPr>
          <w:rFonts w:ascii="Work Sans" w:hAnsi="Work Sans"/>
          <w:sz w:val="24"/>
          <w:szCs w:val="24"/>
        </w:rPr>
        <w:t>, pues como se sabe, en el caso particular no se adelantó proceso de negociación</w:t>
      </w:r>
      <w:r w:rsidR="00CB417F">
        <w:rPr>
          <w:rFonts w:ascii="Work Sans" w:hAnsi="Work Sans"/>
          <w:sz w:val="24"/>
          <w:szCs w:val="24"/>
        </w:rPr>
        <w:t xml:space="preserve"> entre agentes</w:t>
      </w:r>
      <w:r w:rsidR="00CB417F" w:rsidRPr="00966301">
        <w:rPr>
          <w:rFonts w:ascii="Work Sans" w:hAnsi="Work Sans"/>
          <w:sz w:val="24"/>
          <w:szCs w:val="24"/>
        </w:rPr>
        <w:t>,</w:t>
      </w:r>
      <w:r w:rsidR="00CB417F">
        <w:rPr>
          <w:rFonts w:ascii="Work Sans" w:hAnsi="Work Sans"/>
          <w:sz w:val="24"/>
          <w:szCs w:val="24"/>
        </w:rPr>
        <w:t xml:space="preserve"> </w:t>
      </w:r>
      <w:r w:rsidR="00CB417F" w:rsidRPr="00966301">
        <w:rPr>
          <w:rFonts w:ascii="Work Sans" w:hAnsi="Work Sans"/>
          <w:sz w:val="24"/>
          <w:szCs w:val="24"/>
        </w:rPr>
        <w:t xml:space="preserve">sino </w:t>
      </w:r>
      <w:r w:rsidR="00CB417F">
        <w:rPr>
          <w:rFonts w:ascii="Work Sans" w:hAnsi="Work Sans"/>
          <w:sz w:val="24"/>
          <w:szCs w:val="24"/>
        </w:rPr>
        <w:t xml:space="preserve">que la </w:t>
      </w:r>
      <w:r w:rsidR="00373022">
        <w:rPr>
          <w:rFonts w:ascii="Work Sans" w:hAnsi="Work Sans"/>
          <w:sz w:val="24"/>
          <w:szCs w:val="24"/>
        </w:rPr>
        <w:t>fijación</w:t>
      </w:r>
      <w:r w:rsidR="00CB417F" w:rsidRPr="00966301">
        <w:rPr>
          <w:rFonts w:ascii="Work Sans" w:hAnsi="Work Sans"/>
          <w:sz w:val="24"/>
          <w:szCs w:val="24"/>
        </w:rPr>
        <w:t xml:space="preserve"> de </w:t>
      </w:r>
      <w:r w:rsidR="00CB417F">
        <w:rPr>
          <w:rFonts w:ascii="Work Sans" w:hAnsi="Work Sans"/>
          <w:sz w:val="24"/>
          <w:szCs w:val="24"/>
        </w:rPr>
        <w:t xml:space="preserve">la </w:t>
      </w:r>
      <w:r w:rsidR="00CB417F" w:rsidRPr="00966301">
        <w:rPr>
          <w:rFonts w:ascii="Work Sans" w:hAnsi="Work Sans"/>
          <w:sz w:val="24"/>
          <w:szCs w:val="24"/>
        </w:rPr>
        <w:t xml:space="preserve">tarifa </w:t>
      </w:r>
      <w:r w:rsidR="00D65BBE">
        <w:rPr>
          <w:rFonts w:ascii="Work Sans" w:hAnsi="Work Sans"/>
          <w:sz w:val="24"/>
          <w:szCs w:val="24"/>
        </w:rPr>
        <w:t>será</w:t>
      </w:r>
      <w:r w:rsidR="00CB417F">
        <w:rPr>
          <w:rFonts w:ascii="Work Sans" w:hAnsi="Work Sans"/>
          <w:sz w:val="24"/>
          <w:szCs w:val="24"/>
        </w:rPr>
        <w:t xml:space="preserve"> asumida por parte de esta autoridad, </w:t>
      </w:r>
      <w:r w:rsidR="0050672D">
        <w:rPr>
          <w:rFonts w:ascii="Work Sans" w:hAnsi="Work Sans"/>
          <w:sz w:val="24"/>
          <w:szCs w:val="24"/>
        </w:rPr>
        <w:t xml:space="preserve">lo cual implico </w:t>
      </w:r>
    </w:p>
    <w:p w14:paraId="5F7DE3B6" w14:textId="77777777" w:rsidR="00373022" w:rsidRDefault="00373022" w:rsidP="008A44AB">
      <w:pPr>
        <w:spacing w:after="0" w:line="240" w:lineRule="auto"/>
        <w:jc w:val="both"/>
        <w:rPr>
          <w:rFonts w:ascii="Work Sans" w:hAnsi="Work Sans"/>
          <w:sz w:val="24"/>
          <w:szCs w:val="24"/>
        </w:rPr>
      </w:pPr>
    </w:p>
    <w:p w14:paraId="2F7BF826" w14:textId="52C4B5C3" w:rsidR="00B17E39" w:rsidRDefault="00CB417F" w:rsidP="008A44AB">
      <w:pPr>
        <w:spacing w:after="0" w:line="240" w:lineRule="auto"/>
        <w:jc w:val="both"/>
        <w:rPr>
          <w:rFonts w:ascii="Work Sans" w:hAnsi="Work Sans"/>
          <w:sz w:val="24"/>
          <w:szCs w:val="24"/>
        </w:rPr>
      </w:pPr>
      <w:r>
        <w:rPr>
          <w:rFonts w:ascii="Work Sans" w:hAnsi="Work Sans"/>
          <w:sz w:val="24"/>
          <w:szCs w:val="24"/>
        </w:rPr>
        <w:t xml:space="preserve">lo que implica que su fijación   hasta </w:t>
      </w:r>
      <w:r w:rsidRPr="00966301">
        <w:rPr>
          <w:rFonts w:ascii="Work Sans" w:hAnsi="Work Sans"/>
          <w:sz w:val="24"/>
          <w:szCs w:val="24"/>
        </w:rPr>
        <w:t xml:space="preserve">tanto se emita </w:t>
      </w:r>
      <w:r>
        <w:rPr>
          <w:rFonts w:ascii="Work Sans" w:hAnsi="Work Sans"/>
          <w:sz w:val="24"/>
          <w:szCs w:val="24"/>
        </w:rPr>
        <w:t>y pu</w:t>
      </w:r>
      <w:r w:rsidRPr="00966301">
        <w:rPr>
          <w:rFonts w:ascii="Work Sans" w:hAnsi="Work Sans"/>
          <w:sz w:val="24"/>
          <w:szCs w:val="24"/>
        </w:rPr>
        <w:t>la nueva metodología tarifaria, la cual se encuentra en trámite de expedición, y por lo tanto, la actuación administrativa que se emita dispondrá la prórroga de la tarifa prevista en el último periodo tarifario (2019</w:t>
      </w:r>
      <w:r w:rsidRPr="00A744DD">
        <w:rPr>
          <w:rFonts w:ascii="Work Sans" w:hAnsi="Work Sans"/>
          <w:sz w:val="24"/>
          <w:szCs w:val="24"/>
        </w:rPr>
        <w:t>), por lo cual no será aplicable la actualización de que trata el artículo 15 de la mencionada Resolución 72146.</w:t>
      </w:r>
    </w:p>
    <w:p w14:paraId="3C97FAC8" w14:textId="77777777" w:rsidR="008A44AB" w:rsidRPr="00966301" w:rsidRDefault="008A44AB" w:rsidP="008A44AB">
      <w:pPr>
        <w:spacing w:after="0" w:line="240" w:lineRule="auto"/>
        <w:jc w:val="both"/>
        <w:rPr>
          <w:rFonts w:ascii="Work Sans" w:hAnsi="Work Sans"/>
          <w:sz w:val="24"/>
          <w:szCs w:val="24"/>
        </w:rPr>
      </w:pPr>
    </w:p>
    <w:p w14:paraId="2D7CA0AD"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highlight w:val="green"/>
        </w:rPr>
        <w:t>Al respecto, debe tenerse en cuenta lo previsto en el último inciso de la disposición referida la cual prevé que “</w:t>
      </w:r>
      <w:r w:rsidRPr="00966301">
        <w:rPr>
          <w:rFonts w:ascii="Work Sans" w:hAnsi="Work Sans"/>
          <w:i/>
          <w:iCs/>
          <w:sz w:val="24"/>
          <w:szCs w:val="24"/>
          <w:highlight w:val="green"/>
        </w:rPr>
        <w:t xml:space="preserve">Las tarifas vigentes del año tarifario anterior regirán hasta el momento en que se actualicen estas, y para su actualización se tendrán en cuenta los datos vigentes al 30 de junio del año tarifario vencido”. </w:t>
      </w:r>
      <w:r w:rsidRPr="00966301">
        <w:rPr>
          <w:rFonts w:ascii="Work Sans" w:hAnsi="Work Sans"/>
          <w:sz w:val="24"/>
          <w:szCs w:val="24"/>
          <w:highlight w:val="green"/>
        </w:rPr>
        <w:t>De la lectura de esta norma se desprende que la tarifa rige hasta el momento que se actualice, pero en el caso particular, con ocasión del vencimiento del VUN y el proceso de actualización de la metodología, y para evitar la aplicación parcial de la actual metodología, se ha resuelto la prórroga de la vigencia de la tarifa que se había aprobado para el interregno comprendido entre junio de 2025 y junio de 2026, lo cual que se realice su actualización.</w:t>
      </w:r>
      <w:r w:rsidRPr="00966301">
        <w:rPr>
          <w:rFonts w:ascii="Work Sans" w:hAnsi="Work Sans"/>
          <w:sz w:val="24"/>
          <w:szCs w:val="24"/>
        </w:rPr>
        <w:t xml:space="preserve">     </w:t>
      </w:r>
    </w:p>
    <w:p w14:paraId="212CD468" w14:textId="77777777" w:rsidR="008A44AB" w:rsidRPr="00966301" w:rsidRDefault="008A44AB" w:rsidP="008A44AB">
      <w:pPr>
        <w:spacing w:after="0" w:line="240" w:lineRule="auto"/>
        <w:jc w:val="both"/>
        <w:rPr>
          <w:rFonts w:ascii="Work Sans" w:hAnsi="Work Sans"/>
          <w:i/>
          <w:iCs/>
          <w:sz w:val="24"/>
          <w:szCs w:val="24"/>
        </w:rPr>
      </w:pPr>
    </w:p>
    <w:p w14:paraId="4FDD5F2A" w14:textId="55E17942"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Por último, en vista de que no tuvo aplicación práctica el levantamiento de la suspensión de los artículos 5A, 5B, 5C, 5D y 6 de la Resolución 72146 de 2014, esta entidad también ha resuelto la pertinencia de iniciar el proceso de </w:t>
      </w:r>
      <w:r w:rsidRPr="00966301">
        <w:rPr>
          <w:rFonts w:ascii="Work Sans" w:hAnsi="Work Sans"/>
          <w:sz w:val="24"/>
          <w:szCs w:val="24"/>
        </w:rPr>
        <w:lastRenderedPageBreak/>
        <w:t>revocatoria de la Resolución 232 del 2026, de lo cual se le notificará en oportunidad. En vista de lo anterior se precisa que una vez en firme aquella revocatoria no será necesario resolver el recurso formulado por OCENSA</w:t>
      </w:r>
      <w:r w:rsidR="00763CAB">
        <w:rPr>
          <w:rFonts w:ascii="Work Sans" w:hAnsi="Work Sans"/>
          <w:sz w:val="24"/>
          <w:szCs w:val="24"/>
        </w:rPr>
        <w:t xml:space="preserve">, </w:t>
      </w:r>
      <w:r w:rsidRPr="00966301">
        <w:rPr>
          <w:rFonts w:ascii="Work Sans" w:hAnsi="Work Sans"/>
          <w:sz w:val="24"/>
          <w:szCs w:val="24"/>
        </w:rPr>
        <w:t>por la carencia de objeto de la solicitud.</w:t>
      </w:r>
    </w:p>
    <w:p w14:paraId="7A98AFBC" w14:textId="77777777" w:rsidR="008A44AB" w:rsidRPr="00966301" w:rsidRDefault="008A44AB" w:rsidP="008A44AB">
      <w:pPr>
        <w:spacing w:after="0" w:line="240" w:lineRule="auto"/>
        <w:jc w:val="both"/>
        <w:rPr>
          <w:rFonts w:ascii="Work Sans" w:hAnsi="Work Sans"/>
          <w:sz w:val="24"/>
          <w:szCs w:val="24"/>
        </w:rPr>
      </w:pPr>
    </w:p>
    <w:p w14:paraId="4E9ACB90"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Sobre la etapa de negociación.</w:t>
      </w:r>
    </w:p>
    <w:p w14:paraId="23802E5A" w14:textId="77777777" w:rsidR="008A44AB" w:rsidRPr="00966301" w:rsidRDefault="008A44AB" w:rsidP="008A44AB">
      <w:pPr>
        <w:pStyle w:val="Prrafodelista"/>
        <w:spacing w:after="0" w:line="240" w:lineRule="auto"/>
        <w:ind w:left="0"/>
        <w:jc w:val="both"/>
        <w:rPr>
          <w:rFonts w:ascii="Work Sans" w:hAnsi="Work Sans"/>
          <w:b/>
          <w:bCs/>
          <w:sz w:val="28"/>
          <w:szCs w:val="28"/>
        </w:rPr>
      </w:pPr>
    </w:p>
    <w:p w14:paraId="6ADE989B" w14:textId="5E84246D" w:rsidR="008A44AB" w:rsidRPr="00A53693" w:rsidRDefault="008A44AB" w:rsidP="008A44AB">
      <w:pPr>
        <w:spacing w:after="0" w:line="240" w:lineRule="auto"/>
        <w:jc w:val="both"/>
        <w:rPr>
          <w:rFonts w:ascii="Work Sans" w:hAnsi="Work Sans"/>
          <w:sz w:val="24"/>
          <w:szCs w:val="24"/>
          <w:highlight w:val="red"/>
        </w:rPr>
      </w:pPr>
      <w:r w:rsidRPr="00966301">
        <w:rPr>
          <w:rFonts w:ascii="Work Sans" w:hAnsi="Work Sans"/>
          <w:sz w:val="24"/>
          <w:szCs w:val="24"/>
          <w:highlight w:val="red"/>
        </w:rPr>
        <w:t>Esta Dirección reitera que, dadas las condiciones particulares del proceso actualmente en curso, no resulta aplicable la etapa de negociación prevista en los artículos 5A, 5B y 5C de la Resolución 72146 de 2014 para efectos de la determinación tarifaria correspondiente al sistema de transporte de OCENSA.</w:t>
      </w:r>
      <w:r w:rsidR="00A53693">
        <w:rPr>
          <w:rFonts w:ascii="Work Sans" w:hAnsi="Work Sans"/>
          <w:sz w:val="24"/>
          <w:szCs w:val="24"/>
          <w:highlight w:val="red"/>
        </w:rPr>
        <w:t xml:space="preserve"> </w:t>
      </w:r>
      <w:r w:rsidRPr="00966301">
        <w:rPr>
          <w:rFonts w:ascii="Work Sans" w:hAnsi="Work Sans"/>
          <w:sz w:val="24"/>
          <w:szCs w:val="24"/>
          <w:highlight w:val="red"/>
        </w:rPr>
        <w:t>Lo anterior no implica la inaplicabilidad de los demás componentes, variables, criterios y parámetros contenidos en la metodología vigente que resulten pertinentes para el análisis tarifario correspondiente.</w:t>
      </w:r>
    </w:p>
    <w:p w14:paraId="78915270" w14:textId="77777777" w:rsidR="008A44AB" w:rsidRPr="00966301" w:rsidRDefault="008A44AB" w:rsidP="008A44AB">
      <w:pPr>
        <w:spacing w:after="0" w:line="240" w:lineRule="auto"/>
        <w:jc w:val="both"/>
        <w:rPr>
          <w:rFonts w:ascii="Work Sans" w:hAnsi="Work Sans"/>
          <w:sz w:val="24"/>
          <w:szCs w:val="24"/>
        </w:rPr>
      </w:pPr>
    </w:p>
    <w:p w14:paraId="7A1494AF" w14:textId="6A1170D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No resulta necesario emitir esa certeza requerida pues como ya se indicó, será revocada la Res 232 del 2026, en vista de que, dadas las condiciones particulares del proceso de actualización tarifaria actualmente en curso, no se hizo efectivo el proceso de negociación entre agentes y por el contrario se resolvió que el </w:t>
      </w:r>
      <w:r w:rsidR="00A53693" w:rsidRPr="00966301">
        <w:rPr>
          <w:rFonts w:ascii="Work Sans" w:hAnsi="Work Sans"/>
          <w:sz w:val="24"/>
          <w:szCs w:val="24"/>
        </w:rPr>
        <w:t>trámite</w:t>
      </w:r>
      <w:r w:rsidRPr="00966301">
        <w:rPr>
          <w:rFonts w:ascii="Work Sans" w:hAnsi="Work Sans"/>
          <w:sz w:val="24"/>
          <w:szCs w:val="24"/>
        </w:rPr>
        <w:t xml:space="preserve"> se adelantara de manera oficiosa por parte de esta entidad.</w:t>
      </w:r>
    </w:p>
    <w:p w14:paraId="0299037A" w14:textId="77777777" w:rsidR="008A44AB" w:rsidRPr="00966301" w:rsidRDefault="008A44AB" w:rsidP="008A44AB">
      <w:pPr>
        <w:spacing w:after="0" w:line="240" w:lineRule="auto"/>
        <w:jc w:val="both"/>
        <w:rPr>
          <w:rFonts w:ascii="Work Sans" w:hAnsi="Work Sans"/>
          <w:sz w:val="24"/>
          <w:szCs w:val="24"/>
        </w:rPr>
      </w:pPr>
    </w:p>
    <w:p w14:paraId="43270336"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Sobre la valoración CRD y las inversiones adicionales.</w:t>
      </w:r>
    </w:p>
    <w:p w14:paraId="4AB308AF" w14:textId="77777777" w:rsidR="008A44AB" w:rsidRPr="00966301" w:rsidRDefault="008A44AB" w:rsidP="008A44AB">
      <w:pPr>
        <w:pStyle w:val="Prrafodelista"/>
        <w:spacing w:after="0" w:line="240" w:lineRule="auto"/>
        <w:ind w:left="0"/>
        <w:jc w:val="both"/>
        <w:rPr>
          <w:rFonts w:ascii="Work Sans" w:hAnsi="Work Sans"/>
          <w:b/>
          <w:bCs/>
          <w:sz w:val="28"/>
          <w:szCs w:val="28"/>
        </w:rPr>
      </w:pPr>
    </w:p>
    <w:p w14:paraId="5160F8CA" w14:textId="77777777" w:rsidR="008A44AB" w:rsidRPr="00966301" w:rsidRDefault="008A44AB" w:rsidP="008A44AB">
      <w:pPr>
        <w:spacing w:after="0" w:line="240" w:lineRule="auto"/>
        <w:jc w:val="both"/>
        <w:rPr>
          <w:rFonts w:ascii="Work Sans" w:hAnsi="Work Sans"/>
          <w:sz w:val="24"/>
          <w:szCs w:val="24"/>
          <w:highlight w:val="cyan"/>
        </w:rPr>
      </w:pPr>
      <w:r w:rsidRPr="00966301">
        <w:rPr>
          <w:rFonts w:ascii="Work Sans" w:hAnsi="Work Sans"/>
          <w:sz w:val="24"/>
          <w:szCs w:val="24"/>
          <w:highlight w:val="cyan"/>
        </w:rPr>
        <w:t xml:space="preserve">Las manifestaciones realizadas por OCENSA respecto de la suficiencia de la información presentada, la metodología CRD aplicada y el tratamiento otorgado a las inversiones adicionales serán objeto de análisis técnico, financiero, contable y regulatorio dentro del expediente tarifario correspondiente, una vez se </w:t>
      </w:r>
      <w:proofErr w:type="spellStart"/>
      <w:r w:rsidRPr="00966301">
        <w:rPr>
          <w:rFonts w:ascii="Work Sans" w:hAnsi="Work Sans"/>
          <w:sz w:val="24"/>
          <w:szCs w:val="24"/>
          <w:highlight w:val="cyan"/>
        </w:rPr>
        <w:t>allegue</w:t>
      </w:r>
      <w:proofErr w:type="spellEnd"/>
      <w:r w:rsidRPr="00966301">
        <w:rPr>
          <w:rFonts w:ascii="Work Sans" w:hAnsi="Work Sans"/>
          <w:sz w:val="24"/>
          <w:szCs w:val="24"/>
          <w:highlight w:val="cyan"/>
        </w:rPr>
        <w:t xml:space="preserve"> a esta entidad la información requerida mediante el radicado de salida 2-2026-023203 del 26 de mayo de 2026.</w:t>
      </w:r>
    </w:p>
    <w:p w14:paraId="103547B6" w14:textId="77777777" w:rsidR="008A44AB" w:rsidRPr="00966301" w:rsidRDefault="008A44AB" w:rsidP="008A44AB">
      <w:pPr>
        <w:spacing w:after="0" w:line="240" w:lineRule="auto"/>
        <w:jc w:val="both"/>
        <w:rPr>
          <w:rFonts w:ascii="Work Sans" w:hAnsi="Work Sans"/>
          <w:sz w:val="24"/>
          <w:szCs w:val="24"/>
          <w:highlight w:val="cyan"/>
        </w:rPr>
      </w:pPr>
    </w:p>
    <w:p w14:paraId="670CBAED"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highlight w:val="cyan"/>
        </w:rPr>
        <w:t>La sola afirmación de que las inversiones adicionales ya fueron descontadas o no generan reconocimiento duplicado NO releva a la entidad de su deber de verificar dichas circunstancias en consideracion de los soportes respectivos.</w:t>
      </w:r>
    </w:p>
    <w:p w14:paraId="6E6BFD92" w14:textId="77777777" w:rsidR="008A44AB" w:rsidRPr="00966301" w:rsidRDefault="008A44AB" w:rsidP="008A44AB">
      <w:pPr>
        <w:spacing w:after="0" w:line="240" w:lineRule="auto"/>
        <w:jc w:val="both"/>
        <w:rPr>
          <w:rFonts w:ascii="Work Sans" w:hAnsi="Work Sans"/>
          <w:sz w:val="24"/>
          <w:szCs w:val="24"/>
        </w:rPr>
      </w:pPr>
    </w:p>
    <w:p w14:paraId="3FEBC453"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highlight w:val="yellow"/>
        </w:rPr>
        <w:t xml:space="preserve">El mismo informe del auditorio expresa que se tuvieron en cuenta todos los componentes de la infraestructura de OCENSA a fecha de hoy, con su respectiva </w:t>
      </w:r>
      <w:r w:rsidRPr="00966301">
        <w:rPr>
          <w:rFonts w:ascii="Work Sans" w:hAnsi="Work Sans"/>
          <w:sz w:val="24"/>
          <w:szCs w:val="24"/>
          <w:highlight w:val="yellow"/>
        </w:rPr>
        <w:lastRenderedPageBreak/>
        <w:t>depreciación, sin discriminar los activos que ya han sido remunerados en anteriores periodos tarifarios.</w:t>
      </w:r>
    </w:p>
    <w:p w14:paraId="52D76869" w14:textId="77777777" w:rsidR="008A44AB" w:rsidRPr="00966301" w:rsidRDefault="008A44AB" w:rsidP="008A44AB">
      <w:pPr>
        <w:spacing w:after="0" w:line="240" w:lineRule="auto"/>
        <w:jc w:val="both"/>
        <w:rPr>
          <w:rFonts w:ascii="Work Sans" w:hAnsi="Work Sans"/>
          <w:sz w:val="24"/>
          <w:szCs w:val="24"/>
        </w:rPr>
      </w:pPr>
    </w:p>
    <w:p w14:paraId="2CCD7031"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Frente al Anexo 1 – Valoración de Activos.</w:t>
      </w:r>
    </w:p>
    <w:p w14:paraId="6055DECA" w14:textId="77777777" w:rsidR="008A44AB" w:rsidRPr="00966301" w:rsidRDefault="008A44AB" w:rsidP="008A44AB">
      <w:pPr>
        <w:pStyle w:val="Prrafodelista"/>
        <w:spacing w:after="0" w:line="240" w:lineRule="auto"/>
        <w:ind w:left="0"/>
        <w:jc w:val="both"/>
        <w:rPr>
          <w:rFonts w:ascii="Work Sans" w:hAnsi="Work Sans"/>
          <w:b/>
          <w:bCs/>
          <w:sz w:val="28"/>
          <w:szCs w:val="28"/>
        </w:rPr>
      </w:pPr>
    </w:p>
    <w:p w14:paraId="5950E72A"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La finalidad del referido anexo consiste en consolidar, estandarizar y verificar la información utilizada dentro del expediente tarifario, permitiendo contrastar los datos financieros, contables y técnicos que soportan la valoración presentada por la sociedad.</w:t>
      </w:r>
    </w:p>
    <w:p w14:paraId="0FC112CC" w14:textId="77777777" w:rsidR="008A44AB" w:rsidRPr="00966301" w:rsidRDefault="008A44AB" w:rsidP="008A44AB">
      <w:pPr>
        <w:spacing w:after="0" w:line="240" w:lineRule="auto"/>
        <w:jc w:val="both"/>
        <w:rPr>
          <w:rFonts w:ascii="Work Sans" w:hAnsi="Work Sans"/>
          <w:sz w:val="24"/>
          <w:szCs w:val="24"/>
        </w:rPr>
      </w:pPr>
    </w:p>
    <w:p w14:paraId="5B136A8F" w14:textId="6B05E81F" w:rsidR="008A44AB" w:rsidRPr="00966301" w:rsidRDefault="008A44AB" w:rsidP="0068235F">
      <w:pPr>
        <w:spacing w:after="0" w:line="240" w:lineRule="auto"/>
        <w:jc w:val="both"/>
        <w:rPr>
          <w:rFonts w:ascii="Work Sans" w:hAnsi="Work Sans"/>
          <w:i/>
          <w:iCs/>
          <w:sz w:val="24"/>
          <w:szCs w:val="24"/>
        </w:rPr>
      </w:pPr>
      <w:r w:rsidRPr="00966301">
        <w:rPr>
          <w:rFonts w:ascii="Work Sans" w:hAnsi="Work Sans"/>
          <w:sz w:val="24"/>
          <w:szCs w:val="24"/>
        </w:rPr>
        <w:t xml:space="preserve">En consecuencia, esta Dirección mantiene el requerimiento de información efectuado mediante el radicado de </w:t>
      </w:r>
      <w:r w:rsidR="00763CAB" w:rsidRPr="00966301">
        <w:rPr>
          <w:rFonts w:ascii="Work Sans" w:hAnsi="Work Sans"/>
          <w:sz w:val="24"/>
          <w:szCs w:val="24"/>
        </w:rPr>
        <w:t>salida 2</w:t>
      </w:r>
      <w:r w:rsidRPr="00966301">
        <w:rPr>
          <w:rFonts w:ascii="Work Sans" w:hAnsi="Work Sans"/>
          <w:sz w:val="24"/>
          <w:szCs w:val="24"/>
        </w:rPr>
        <w:t xml:space="preserve">-2026-023203 del 26 de mayo de 2026, en atención a la competencia y facultades asignadas a esta autoridad, que fueron </w:t>
      </w:r>
      <w:r w:rsidR="0068235F" w:rsidRPr="00966301">
        <w:rPr>
          <w:rFonts w:ascii="Work Sans" w:hAnsi="Work Sans"/>
          <w:sz w:val="24"/>
          <w:szCs w:val="24"/>
        </w:rPr>
        <w:t>detalladas</w:t>
      </w:r>
      <w:r w:rsidRPr="00966301">
        <w:rPr>
          <w:rFonts w:ascii="Work Sans" w:hAnsi="Work Sans"/>
          <w:sz w:val="24"/>
          <w:szCs w:val="24"/>
        </w:rPr>
        <w:t xml:space="preserve"> en el apartado inicial de esta respuesta</w:t>
      </w:r>
      <w:r w:rsidR="0068235F">
        <w:rPr>
          <w:rFonts w:ascii="Work Sans" w:hAnsi="Work Sans"/>
          <w:sz w:val="24"/>
          <w:szCs w:val="24"/>
        </w:rPr>
        <w:t>.</w:t>
      </w:r>
    </w:p>
    <w:p w14:paraId="12EBCBED" w14:textId="77777777" w:rsidR="008A44AB" w:rsidRPr="00966301" w:rsidRDefault="008A44AB" w:rsidP="008A44AB">
      <w:pPr>
        <w:spacing w:after="0" w:line="240" w:lineRule="auto"/>
        <w:jc w:val="both"/>
        <w:rPr>
          <w:rFonts w:ascii="Work Sans" w:hAnsi="Work Sans"/>
          <w:i/>
          <w:iCs/>
          <w:sz w:val="24"/>
          <w:szCs w:val="24"/>
        </w:rPr>
      </w:pPr>
    </w:p>
    <w:p w14:paraId="7AFB0854"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En cuanto a los estados financieros y sus notas explicativas.</w:t>
      </w:r>
    </w:p>
    <w:p w14:paraId="0B7B786D" w14:textId="77777777" w:rsidR="008A44AB" w:rsidRPr="00966301" w:rsidRDefault="008A44AB" w:rsidP="008A44AB">
      <w:pPr>
        <w:pStyle w:val="Prrafodelista"/>
        <w:spacing w:after="0" w:line="240" w:lineRule="auto"/>
        <w:ind w:left="0"/>
        <w:jc w:val="both"/>
        <w:rPr>
          <w:rFonts w:ascii="Work Sans" w:hAnsi="Work Sans"/>
          <w:sz w:val="28"/>
          <w:szCs w:val="28"/>
        </w:rPr>
      </w:pPr>
    </w:p>
    <w:p w14:paraId="1AC7B575"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La información financiera solicitada tiene como finalidad verificar la consistencia de los soportes contables asociados a los activos, inversiones, provisiones y demás conceptos incorporados dentro del expediente tarifario, por lo tanto, se reitera lo indicado en los anteriores puntos, en cuanto que esta autoridad es competente y tiene dentro de sus funciones requerir dicha información con el fin de emitir actuaciones que se encuentren fundamentadas en hechos debidamente acreditados. </w:t>
      </w:r>
    </w:p>
    <w:p w14:paraId="7A890465" w14:textId="77777777" w:rsidR="008A44AB" w:rsidRPr="00966301" w:rsidRDefault="008A44AB" w:rsidP="008A44AB">
      <w:pPr>
        <w:spacing w:after="0" w:line="240" w:lineRule="auto"/>
        <w:jc w:val="both"/>
        <w:rPr>
          <w:rFonts w:ascii="Work Sans" w:hAnsi="Work Sans"/>
          <w:sz w:val="24"/>
          <w:szCs w:val="24"/>
        </w:rPr>
      </w:pPr>
    </w:p>
    <w:p w14:paraId="757A8E0D"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En consecuencia, OCENSA deberá aportar, en términos solicitados, la información financiera disponible requerida con el radicado de salida 2-2026-023203 del 26 de mayo de 2026.</w:t>
      </w:r>
    </w:p>
    <w:p w14:paraId="79A87032" w14:textId="77777777" w:rsidR="008A44AB" w:rsidRPr="00966301" w:rsidRDefault="008A44AB" w:rsidP="008A44AB">
      <w:pPr>
        <w:spacing w:after="0" w:line="240" w:lineRule="auto"/>
        <w:jc w:val="both"/>
        <w:rPr>
          <w:rFonts w:ascii="Work Sans" w:hAnsi="Work Sans"/>
          <w:sz w:val="24"/>
          <w:szCs w:val="24"/>
        </w:rPr>
      </w:pPr>
    </w:p>
    <w:p w14:paraId="4DE52885"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Sobre las facturas del impuesto predial.</w:t>
      </w:r>
    </w:p>
    <w:p w14:paraId="6B5067FB" w14:textId="77777777" w:rsidR="008A44AB" w:rsidRPr="00966301" w:rsidRDefault="008A44AB" w:rsidP="008A44AB">
      <w:pPr>
        <w:pStyle w:val="Prrafodelista"/>
        <w:spacing w:after="0" w:line="240" w:lineRule="auto"/>
        <w:ind w:left="0"/>
        <w:jc w:val="both"/>
        <w:rPr>
          <w:rFonts w:ascii="Work Sans" w:hAnsi="Work Sans"/>
          <w:sz w:val="28"/>
          <w:szCs w:val="28"/>
        </w:rPr>
      </w:pPr>
    </w:p>
    <w:p w14:paraId="06B1F715"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Esta Dirección considera que la información predial requerida guarda relación con la verificación de los bienes incorporados dentro de la valoración presentada por la sociedad y constituye un elemento relevante para contrastar la identificación e individualización de los predios asociados a la infraestructura objeto de análisis.</w:t>
      </w:r>
    </w:p>
    <w:p w14:paraId="74608D82" w14:textId="77777777" w:rsidR="008A44AB" w:rsidRPr="00966301" w:rsidRDefault="008A44AB" w:rsidP="008A44AB">
      <w:pPr>
        <w:spacing w:after="0" w:line="240" w:lineRule="auto"/>
        <w:jc w:val="both"/>
        <w:rPr>
          <w:rFonts w:ascii="Work Sans" w:hAnsi="Work Sans"/>
          <w:sz w:val="24"/>
          <w:szCs w:val="24"/>
        </w:rPr>
      </w:pPr>
    </w:p>
    <w:p w14:paraId="3721ACDD"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lastRenderedPageBreak/>
        <w:t>Por tal razón, se mantiene el requerimiento efectuado mediante el radicado de salida 2-2026-023203 del 26 de mayo de 2026.</w:t>
      </w:r>
    </w:p>
    <w:p w14:paraId="21F15ED9" w14:textId="77777777" w:rsidR="008A44AB" w:rsidRPr="00966301" w:rsidRDefault="008A44AB" w:rsidP="008A44AB">
      <w:pPr>
        <w:spacing w:after="0" w:line="240" w:lineRule="auto"/>
        <w:jc w:val="both"/>
        <w:rPr>
          <w:rFonts w:ascii="Work Sans" w:hAnsi="Work Sans"/>
          <w:sz w:val="24"/>
          <w:szCs w:val="24"/>
        </w:rPr>
      </w:pPr>
    </w:p>
    <w:p w14:paraId="43D06607"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Sobre las escrituras de servidumbre y la certificación del revisor fiscal.</w:t>
      </w:r>
    </w:p>
    <w:p w14:paraId="2CE6E10D" w14:textId="77777777" w:rsidR="008A44AB" w:rsidRPr="00966301" w:rsidRDefault="008A44AB" w:rsidP="008A44AB">
      <w:pPr>
        <w:pStyle w:val="Prrafodelista"/>
        <w:spacing w:after="0" w:line="240" w:lineRule="auto"/>
        <w:ind w:left="0"/>
        <w:jc w:val="both"/>
        <w:rPr>
          <w:rFonts w:ascii="Work Sans" w:hAnsi="Work Sans"/>
          <w:sz w:val="28"/>
          <w:szCs w:val="28"/>
        </w:rPr>
      </w:pPr>
    </w:p>
    <w:p w14:paraId="305486A4"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Si los valores asociados a servidumbres fueron incorporados dentro del ejercicio de valoración presentado por OCENSA, la Administración debe contar con los elementos necesarios para verificar su existencia, alcance, valoración y tratamiento regulatorio.</w:t>
      </w:r>
    </w:p>
    <w:p w14:paraId="35BE1007" w14:textId="77777777" w:rsidR="008A44AB" w:rsidRPr="00966301" w:rsidRDefault="008A44AB" w:rsidP="008A44AB">
      <w:pPr>
        <w:spacing w:after="0" w:line="240" w:lineRule="auto"/>
        <w:jc w:val="both"/>
        <w:rPr>
          <w:rFonts w:ascii="Work Sans" w:hAnsi="Work Sans"/>
          <w:sz w:val="24"/>
          <w:szCs w:val="24"/>
        </w:rPr>
      </w:pPr>
    </w:p>
    <w:p w14:paraId="5779BD33"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En consecuencia, se mantiene el requerimiento relacionado con la relación de servidumbres, los soportes documentales correspondientes y la certificación emitida por revisor fiscal respecto de la información financiera y patrimonial asociada a dichos conceptos.</w:t>
      </w:r>
    </w:p>
    <w:p w14:paraId="745C3380" w14:textId="77777777" w:rsidR="008A44AB" w:rsidRPr="00966301" w:rsidRDefault="008A44AB" w:rsidP="008A44AB">
      <w:pPr>
        <w:spacing w:after="0" w:line="240" w:lineRule="auto"/>
        <w:jc w:val="both"/>
        <w:rPr>
          <w:rFonts w:ascii="Work Sans" w:hAnsi="Work Sans"/>
          <w:sz w:val="24"/>
          <w:szCs w:val="24"/>
        </w:rPr>
      </w:pPr>
    </w:p>
    <w:p w14:paraId="1030BDDF"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Sobre el factor de ajuste tarifario.</w:t>
      </w:r>
    </w:p>
    <w:p w14:paraId="38F0DDF7" w14:textId="77777777" w:rsidR="008A44AB" w:rsidRPr="00966301" w:rsidRDefault="008A44AB" w:rsidP="008A44AB">
      <w:pPr>
        <w:spacing w:after="0" w:line="240" w:lineRule="auto"/>
        <w:jc w:val="both"/>
        <w:rPr>
          <w:rFonts w:ascii="Work Sans" w:hAnsi="Work Sans"/>
          <w:sz w:val="24"/>
          <w:szCs w:val="24"/>
        </w:rPr>
      </w:pPr>
    </w:p>
    <w:p w14:paraId="0B80314A"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 xml:space="preserve">Al respecto, se reitera lo manifestado en cuanto al último inciso del artículo 5 de la Resolución 72146 del 2014, la cual prevé que </w:t>
      </w:r>
      <w:r w:rsidRPr="00966301">
        <w:rPr>
          <w:rFonts w:ascii="Work Sans" w:hAnsi="Work Sans"/>
          <w:i/>
          <w:iCs/>
          <w:sz w:val="24"/>
          <w:szCs w:val="24"/>
        </w:rPr>
        <w:t>“Las tarifas vigentes del año tarifario anterior regirán hasta el momento en que se actualicen estas, y para su actualización se tendrán en cuenta los datos vigentes al 30 de junio del año tarifario vencido”</w:t>
      </w:r>
      <w:r w:rsidRPr="00966301">
        <w:rPr>
          <w:rFonts w:ascii="Work Sans" w:hAnsi="Work Sans"/>
          <w:sz w:val="24"/>
          <w:szCs w:val="24"/>
        </w:rPr>
        <w:t xml:space="preserve">. De la lectura de esta norma se desprende que la tarifa rige hasta el momento que se actualice, pero en el caso particular, con ocasión del vencimiento del VUN y el proceso de actualización de la metodología, y para evitar la aplicación parcial de la actual metodología, se ha resuelto la prórroga de la vigencia de la tarifa que se había aprobado para el interregno comprendido entre junio de 2025 y junio de 2026, lo cual que se realice su actualización.   </w:t>
      </w:r>
    </w:p>
    <w:p w14:paraId="701BFD62" w14:textId="77777777" w:rsidR="008A44AB" w:rsidRPr="00966301" w:rsidRDefault="008A44AB" w:rsidP="008A44AB">
      <w:pPr>
        <w:spacing w:after="0" w:line="240" w:lineRule="auto"/>
        <w:jc w:val="both"/>
        <w:rPr>
          <w:rFonts w:ascii="Work Sans" w:hAnsi="Work Sans"/>
          <w:sz w:val="24"/>
          <w:szCs w:val="24"/>
        </w:rPr>
      </w:pPr>
    </w:p>
    <w:p w14:paraId="7CD49355"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Frente el proyecto P-135</w:t>
      </w:r>
    </w:p>
    <w:p w14:paraId="0225121A" w14:textId="77777777" w:rsidR="008A44AB" w:rsidRPr="00966301" w:rsidRDefault="008A44AB" w:rsidP="008A44AB">
      <w:pPr>
        <w:pStyle w:val="Prrafodelista"/>
        <w:spacing w:after="0" w:line="240" w:lineRule="auto"/>
        <w:ind w:left="0"/>
        <w:jc w:val="both"/>
        <w:rPr>
          <w:rFonts w:ascii="Work Sans" w:hAnsi="Work Sans"/>
          <w:sz w:val="28"/>
          <w:szCs w:val="28"/>
        </w:rPr>
      </w:pPr>
    </w:p>
    <w:p w14:paraId="63342A69" w14:textId="77777777" w:rsidR="008A44AB" w:rsidRPr="00966301" w:rsidRDefault="008A44AB" w:rsidP="008A44AB">
      <w:pPr>
        <w:spacing w:after="0" w:line="240" w:lineRule="auto"/>
        <w:jc w:val="both"/>
        <w:rPr>
          <w:rFonts w:ascii="Work Sans" w:hAnsi="Work Sans"/>
          <w:sz w:val="24"/>
          <w:szCs w:val="24"/>
          <w:highlight w:val="yellow"/>
        </w:rPr>
      </w:pPr>
      <w:r w:rsidRPr="00966301">
        <w:rPr>
          <w:rFonts w:ascii="Work Sans" w:hAnsi="Work Sans"/>
          <w:sz w:val="24"/>
          <w:szCs w:val="24"/>
          <w:highlight w:val="yellow"/>
        </w:rPr>
        <w:t xml:space="preserve">Las manifestaciones realizadas por OCENSA respecto del tratamiento tarifario del Proyecto P-135 serán objeto de análisis en el momento de la finalización de la Vida </w:t>
      </w:r>
      <w:proofErr w:type="spellStart"/>
      <w:r w:rsidRPr="00966301">
        <w:rPr>
          <w:rFonts w:ascii="Work Sans" w:hAnsi="Work Sans"/>
          <w:sz w:val="24"/>
          <w:szCs w:val="24"/>
          <w:highlight w:val="yellow"/>
        </w:rPr>
        <w:t>Util</w:t>
      </w:r>
      <w:proofErr w:type="spellEnd"/>
      <w:r w:rsidRPr="00966301">
        <w:rPr>
          <w:rFonts w:ascii="Work Sans" w:hAnsi="Work Sans"/>
          <w:sz w:val="24"/>
          <w:szCs w:val="24"/>
          <w:highlight w:val="yellow"/>
        </w:rPr>
        <w:t xml:space="preserve"> Normativa de aquella infraestructura.</w:t>
      </w:r>
    </w:p>
    <w:p w14:paraId="634BFC79" w14:textId="77777777" w:rsidR="008A44AB" w:rsidRPr="00966301" w:rsidRDefault="008A44AB" w:rsidP="008A44AB">
      <w:pPr>
        <w:spacing w:after="0" w:line="240" w:lineRule="auto"/>
        <w:jc w:val="both"/>
        <w:rPr>
          <w:rFonts w:ascii="Work Sans" w:hAnsi="Work Sans"/>
          <w:sz w:val="24"/>
          <w:szCs w:val="24"/>
        </w:rPr>
      </w:pPr>
    </w:p>
    <w:p w14:paraId="7521A83D" w14:textId="77777777" w:rsidR="008A44AB" w:rsidRPr="00966301" w:rsidRDefault="008A44AB" w:rsidP="008A44AB">
      <w:pPr>
        <w:pStyle w:val="Prrafodelista"/>
        <w:numPr>
          <w:ilvl w:val="0"/>
          <w:numId w:val="1"/>
        </w:numPr>
        <w:spacing w:after="0" w:line="240" w:lineRule="auto"/>
        <w:ind w:left="0"/>
        <w:jc w:val="both"/>
        <w:rPr>
          <w:rFonts w:ascii="Work Sans" w:hAnsi="Work Sans"/>
          <w:b/>
          <w:bCs/>
          <w:sz w:val="28"/>
          <w:szCs w:val="28"/>
        </w:rPr>
      </w:pPr>
      <w:r w:rsidRPr="00966301">
        <w:rPr>
          <w:rFonts w:ascii="Work Sans" w:hAnsi="Work Sans"/>
          <w:b/>
          <w:bCs/>
          <w:sz w:val="28"/>
          <w:szCs w:val="28"/>
        </w:rPr>
        <w:t>Sobre el fondo de abandono</w:t>
      </w:r>
    </w:p>
    <w:p w14:paraId="274016C9" w14:textId="77777777" w:rsidR="008A44AB" w:rsidRPr="00966301" w:rsidRDefault="008A44AB" w:rsidP="008A44AB">
      <w:pPr>
        <w:pStyle w:val="Prrafodelista"/>
        <w:spacing w:after="0" w:line="240" w:lineRule="auto"/>
        <w:ind w:left="0"/>
        <w:jc w:val="both"/>
        <w:rPr>
          <w:rFonts w:ascii="Work Sans" w:hAnsi="Work Sans"/>
          <w:b/>
          <w:bCs/>
          <w:sz w:val="28"/>
          <w:szCs w:val="28"/>
        </w:rPr>
      </w:pPr>
    </w:p>
    <w:p w14:paraId="60B6E2C7"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highlight w:val="yellow"/>
        </w:rPr>
        <w:lastRenderedPageBreak/>
        <w:t>La información relacionada con el Fondo de Abandono y las provisiones contables asociadas a dicho concepto será analizada dentro del expediente tarifario correspondiente.</w:t>
      </w:r>
    </w:p>
    <w:p w14:paraId="6326CA40" w14:textId="77777777" w:rsidR="008A44AB" w:rsidRPr="00966301" w:rsidRDefault="008A44AB" w:rsidP="008A44AB">
      <w:pPr>
        <w:spacing w:after="0" w:line="240" w:lineRule="auto"/>
        <w:jc w:val="both"/>
        <w:rPr>
          <w:rFonts w:ascii="Work Sans" w:hAnsi="Work Sans"/>
          <w:sz w:val="24"/>
          <w:szCs w:val="24"/>
        </w:rPr>
      </w:pPr>
    </w:p>
    <w:p w14:paraId="6229F0E9"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No obstante, la existencia de provisiones contables registradas bajo normas internacionales de información financiera no excluye la facultad de la Administración para solicitar los soportes que permitan verificar la naturaleza, origen, tratamiento y eventual incidencia tarifaria de dichos conceptos.</w:t>
      </w:r>
    </w:p>
    <w:p w14:paraId="7E0BF78D" w14:textId="77777777" w:rsidR="008A44AB" w:rsidRPr="00966301" w:rsidRDefault="008A44AB" w:rsidP="008A44AB">
      <w:pPr>
        <w:spacing w:after="0" w:line="240" w:lineRule="auto"/>
        <w:jc w:val="both"/>
        <w:rPr>
          <w:rFonts w:ascii="Work Sans" w:hAnsi="Work Sans"/>
          <w:sz w:val="24"/>
          <w:szCs w:val="24"/>
        </w:rPr>
      </w:pPr>
    </w:p>
    <w:p w14:paraId="2C24E56B"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En consecuencia, se mantienen los requerimientos efectuados respecto de la información relacionada con este componente.</w:t>
      </w:r>
    </w:p>
    <w:p w14:paraId="1E8203D4" w14:textId="77777777" w:rsidR="008A44AB" w:rsidRPr="00966301" w:rsidRDefault="008A44AB" w:rsidP="008A44AB">
      <w:pPr>
        <w:spacing w:after="0" w:line="240" w:lineRule="auto"/>
        <w:jc w:val="both"/>
        <w:rPr>
          <w:rFonts w:ascii="Work Sans" w:hAnsi="Work Sans"/>
          <w:sz w:val="24"/>
          <w:szCs w:val="24"/>
        </w:rPr>
      </w:pPr>
    </w:p>
    <w:p w14:paraId="7CD99A34" w14:textId="77777777" w:rsidR="008A44AB" w:rsidRPr="00966301" w:rsidRDefault="008A44AB" w:rsidP="008A44AB">
      <w:pPr>
        <w:spacing w:after="0" w:line="240" w:lineRule="auto"/>
        <w:jc w:val="both"/>
        <w:rPr>
          <w:rFonts w:ascii="Work Sans" w:hAnsi="Work Sans"/>
          <w:sz w:val="24"/>
          <w:szCs w:val="24"/>
        </w:rPr>
      </w:pPr>
      <w:r w:rsidRPr="00966301">
        <w:rPr>
          <w:rFonts w:ascii="Work Sans" w:hAnsi="Work Sans"/>
          <w:sz w:val="24"/>
          <w:szCs w:val="24"/>
        </w:rPr>
        <w:t>En mérito de lo expuesto, esta Dirección reitera la procedencia de los requerimientos formulados mediante la comunicación con radicado No. 2-2026-023203 del 26 de mayo de 2026 y continuará adelantando el proceso de revisión y fijación tarifaria con fundamento en la información que obra en el expediente y aquella que resulte necesaria para adoptar una decisión debidamente motivada, técnica y jurídicamente sustentada.</w:t>
      </w:r>
    </w:p>
    <w:p w14:paraId="42FDB3F4" w14:textId="77777777" w:rsidR="008A44AB" w:rsidRPr="008A44AB" w:rsidRDefault="008A44AB" w:rsidP="008A44AB">
      <w:pPr>
        <w:spacing w:after="0" w:line="240" w:lineRule="auto"/>
        <w:jc w:val="both"/>
        <w:rPr>
          <w:rFonts w:ascii="Work Sans" w:hAnsi="Work Sans"/>
        </w:rPr>
      </w:pPr>
    </w:p>
    <w:p w14:paraId="34A00399" w14:textId="69170715" w:rsidR="00484A5A" w:rsidRPr="002E3C93" w:rsidRDefault="001D0E95" w:rsidP="00484A5A">
      <w:pPr>
        <w:spacing w:line="240" w:lineRule="auto"/>
        <w:ind w:right="51"/>
        <w:contextualSpacing/>
        <w:jc w:val="both"/>
        <w:rPr>
          <w:rFonts w:ascii="Work Sans" w:hAnsi="Work Sans" w:cs="Arial"/>
          <w:sz w:val="24"/>
          <w:highlight w:val="green"/>
        </w:rPr>
      </w:pPr>
      <w:r w:rsidRPr="002E3C93">
        <w:rPr>
          <w:rFonts w:ascii="Work Sans" w:hAnsi="Work Sans" w:cs="Arial"/>
          <w:sz w:val="24"/>
          <w:highlight w:val="green"/>
        </w:rPr>
        <w:t>es decir, tanto la inversión inicial (I), como las inversiones (I), deben tener el mismo periodo de recuperación establecido en el primer periodo tarifario.</w:t>
      </w:r>
    </w:p>
    <w:p w14:paraId="1EDC4420" w14:textId="77777777" w:rsidR="001D0E95" w:rsidRPr="002E3C93" w:rsidRDefault="001D0E95" w:rsidP="00484A5A">
      <w:pPr>
        <w:spacing w:line="240" w:lineRule="auto"/>
        <w:ind w:right="51"/>
        <w:contextualSpacing/>
        <w:jc w:val="both"/>
        <w:rPr>
          <w:rFonts w:ascii="Work Sans" w:hAnsi="Work Sans" w:cs="Arial"/>
          <w:sz w:val="24"/>
          <w:highlight w:val="green"/>
        </w:rPr>
      </w:pPr>
    </w:p>
    <w:p w14:paraId="1FE6AD0C" w14:textId="77777777" w:rsidR="001D0E95" w:rsidRDefault="001D0E95" w:rsidP="00484A5A">
      <w:pPr>
        <w:spacing w:line="240" w:lineRule="auto"/>
        <w:ind w:right="51"/>
        <w:contextualSpacing/>
        <w:jc w:val="both"/>
        <w:rPr>
          <w:rFonts w:ascii="Work Sans" w:hAnsi="Work Sans" w:cs="Arial"/>
          <w:sz w:val="24"/>
          <w:highlight w:val="yellow"/>
        </w:rPr>
      </w:pPr>
    </w:p>
    <w:p w14:paraId="07C7FCE1" w14:textId="77777777" w:rsidR="001D0E95" w:rsidRPr="008A44AB" w:rsidRDefault="001D0E95" w:rsidP="00484A5A">
      <w:pPr>
        <w:spacing w:line="240" w:lineRule="auto"/>
        <w:ind w:right="51"/>
        <w:contextualSpacing/>
        <w:jc w:val="both"/>
        <w:rPr>
          <w:rFonts w:ascii="Work Sans" w:hAnsi="Work Sans" w:cs="Arial"/>
          <w:sz w:val="24"/>
          <w:highlight w:val="yellow"/>
        </w:rPr>
      </w:pPr>
    </w:p>
    <w:p w14:paraId="7F631C2F" w14:textId="79B6CD56" w:rsidR="00484A5A" w:rsidRPr="008A44AB" w:rsidRDefault="00484A5A" w:rsidP="00484A5A">
      <w:pPr>
        <w:spacing w:line="240" w:lineRule="auto"/>
        <w:ind w:right="51"/>
        <w:contextualSpacing/>
        <w:jc w:val="both"/>
        <w:rPr>
          <w:rFonts w:ascii="Work Sans" w:hAnsi="Work Sans" w:cs="Arial"/>
          <w:sz w:val="24"/>
        </w:rPr>
      </w:pPr>
      <w:r w:rsidRPr="008A44AB">
        <w:rPr>
          <w:rFonts w:ascii="Work Sans" w:hAnsi="Work Sans" w:cs="Arial"/>
          <w:sz w:val="24"/>
        </w:rPr>
        <w:t>Cordialmente,</w:t>
      </w:r>
    </w:p>
    <w:p w14:paraId="587D12C3" w14:textId="77777777" w:rsidR="00DE1913" w:rsidRPr="008A44AB"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8A44AB" w14:paraId="781C9F6C" w14:textId="77777777">
        <w:tc>
          <w:tcPr>
            <w:tcW w:w="8789" w:type="dxa"/>
            <w:gridSpan w:val="2"/>
          </w:tcPr>
          <w:p w14:paraId="5145A6CB" w14:textId="77777777" w:rsidR="00DE1913" w:rsidRPr="008A44AB" w:rsidRDefault="003B2B73">
            <w:pPr>
              <w:widowControl w:val="0"/>
              <w:spacing w:after="0"/>
              <w:rPr>
                <w:rFonts w:ascii="Work Sans" w:hAnsi="Work Sans"/>
                <w:sz w:val="24"/>
                <w:szCs w:val="24"/>
              </w:rPr>
            </w:pPr>
            <w:proofErr w:type="spellStart"/>
            <w:r w:rsidRPr="008A44AB">
              <w:rPr>
                <w:rFonts w:ascii="Work Sans" w:hAnsi="Work Sans" w:cs="Arial"/>
                <w:sz w:val="24"/>
                <w:szCs w:val="24"/>
              </w:rPr>
              <w:t>Tabla_Firmantes</w:t>
            </w:r>
            <w:proofErr w:type="spellEnd"/>
          </w:p>
        </w:tc>
      </w:tr>
      <w:tr w:rsidR="00DE1913" w:rsidRPr="008A44AB" w14:paraId="37C4CDA5" w14:textId="77777777">
        <w:tc>
          <w:tcPr>
            <w:tcW w:w="4380" w:type="dxa"/>
          </w:tcPr>
          <w:p w14:paraId="7D1CDEBA" w14:textId="77777777" w:rsidR="00DE1913" w:rsidRPr="008A44AB" w:rsidRDefault="00DE1913">
            <w:pPr>
              <w:widowControl w:val="0"/>
              <w:spacing w:after="0"/>
              <w:rPr>
                <w:rFonts w:ascii="Work Sans" w:hAnsi="Work Sans"/>
              </w:rPr>
            </w:pPr>
          </w:p>
        </w:tc>
        <w:tc>
          <w:tcPr>
            <w:tcW w:w="4409" w:type="dxa"/>
          </w:tcPr>
          <w:p w14:paraId="5799865F" w14:textId="77777777" w:rsidR="00DE1913" w:rsidRPr="008A44AB" w:rsidRDefault="00DE1913">
            <w:pPr>
              <w:widowControl w:val="0"/>
              <w:spacing w:after="0"/>
              <w:rPr>
                <w:rFonts w:ascii="Work Sans" w:hAnsi="Work Sans"/>
              </w:rPr>
            </w:pPr>
          </w:p>
        </w:tc>
      </w:tr>
      <w:tr w:rsidR="00DE1913" w:rsidRPr="008A44AB" w14:paraId="4D903A80" w14:textId="77777777">
        <w:tc>
          <w:tcPr>
            <w:tcW w:w="4380" w:type="dxa"/>
          </w:tcPr>
          <w:p w14:paraId="1411F255" w14:textId="77777777" w:rsidR="00DE1913" w:rsidRPr="008A44AB" w:rsidRDefault="00DE1913">
            <w:pPr>
              <w:widowControl w:val="0"/>
              <w:spacing w:after="0"/>
              <w:rPr>
                <w:rFonts w:ascii="Work Sans" w:hAnsi="Work Sans"/>
              </w:rPr>
            </w:pPr>
          </w:p>
        </w:tc>
        <w:tc>
          <w:tcPr>
            <w:tcW w:w="4409" w:type="dxa"/>
          </w:tcPr>
          <w:p w14:paraId="0F8A73FC" w14:textId="77777777" w:rsidR="00DE1913" w:rsidRPr="008A44AB" w:rsidRDefault="00DE1913">
            <w:pPr>
              <w:widowControl w:val="0"/>
              <w:spacing w:after="0"/>
              <w:rPr>
                <w:rFonts w:ascii="Work Sans" w:hAnsi="Work Sans"/>
              </w:rPr>
            </w:pPr>
          </w:p>
        </w:tc>
      </w:tr>
    </w:tbl>
    <w:p w14:paraId="312123EE" w14:textId="77777777" w:rsidR="00DE1913" w:rsidRPr="008A44AB" w:rsidRDefault="003B2B73">
      <w:pPr>
        <w:spacing w:after="0"/>
        <w:rPr>
          <w:rFonts w:ascii="Work Sans" w:hAnsi="Work Sans"/>
          <w:sz w:val="16"/>
          <w:szCs w:val="16"/>
        </w:rPr>
      </w:pPr>
      <w:proofErr w:type="spellStart"/>
      <w:r w:rsidRPr="008A44AB">
        <w:rPr>
          <w:rFonts w:ascii="Work Sans" w:hAnsi="Work Sans"/>
          <w:sz w:val="16"/>
          <w:szCs w:val="16"/>
        </w:rPr>
        <w:t>ley_texto</w:t>
      </w:r>
      <w:proofErr w:type="spellEnd"/>
    </w:p>
    <w:p w14:paraId="5F6C3CB9" w14:textId="77777777" w:rsidR="00DE1913" w:rsidRPr="008A44AB" w:rsidRDefault="003B2B73">
      <w:pPr>
        <w:spacing w:after="0"/>
        <w:rPr>
          <w:rFonts w:ascii="Work Sans" w:hAnsi="Work Sans"/>
          <w:sz w:val="16"/>
          <w:szCs w:val="16"/>
        </w:rPr>
      </w:pPr>
      <w:proofErr w:type="spellStart"/>
      <w:r w:rsidRPr="008A44AB">
        <w:rPr>
          <w:rFonts w:ascii="Work Sans" w:hAnsi="Work Sans"/>
          <w:sz w:val="16"/>
          <w:szCs w:val="16"/>
        </w:rPr>
        <w:t>copias_r</w:t>
      </w:r>
      <w:proofErr w:type="spellEnd"/>
      <w:r w:rsidRPr="008A44AB">
        <w:rPr>
          <w:rFonts w:ascii="Work Sans" w:hAnsi="Work Sans"/>
          <w:sz w:val="16"/>
          <w:szCs w:val="16"/>
        </w:rPr>
        <w:t xml:space="preserve"> </w:t>
      </w:r>
    </w:p>
    <w:p w14:paraId="56626830" w14:textId="77777777" w:rsidR="00DE1913" w:rsidRPr="008A44AB" w:rsidRDefault="003B2B73">
      <w:pPr>
        <w:spacing w:after="0"/>
        <w:rPr>
          <w:rFonts w:ascii="Work Sans" w:hAnsi="Work Sans"/>
          <w:sz w:val="16"/>
          <w:szCs w:val="16"/>
        </w:rPr>
      </w:pPr>
      <w:proofErr w:type="spellStart"/>
      <w:r w:rsidRPr="008A44AB">
        <w:rPr>
          <w:rFonts w:ascii="Work Sans" w:eastAsia="Times New Roman" w:hAnsi="Work Sans" w:cs="Times New Roman"/>
          <w:spacing w:val="-3"/>
          <w:sz w:val="16"/>
          <w:szCs w:val="16"/>
          <w:lang w:val="es-ES_tradnl" w:eastAsia="es-ES"/>
        </w:rPr>
        <w:t>rad_padre</w:t>
      </w:r>
      <w:proofErr w:type="spellEnd"/>
    </w:p>
    <w:p w14:paraId="1843D142" w14:textId="77777777" w:rsidR="00DE1913" w:rsidRPr="008A44AB" w:rsidRDefault="003B2B73">
      <w:pPr>
        <w:spacing w:after="0"/>
        <w:rPr>
          <w:rFonts w:ascii="Work Sans" w:hAnsi="Work Sans"/>
          <w:sz w:val="16"/>
          <w:szCs w:val="16"/>
        </w:rPr>
      </w:pPr>
      <w:proofErr w:type="spellStart"/>
      <w:r w:rsidRPr="008A44AB">
        <w:rPr>
          <w:rFonts w:ascii="Work Sans" w:eastAsia="Times New Roman" w:hAnsi="Work Sans" w:cs="Times New Roman"/>
          <w:spacing w:val="-3"/>
          <w:sz w:val="16"/>
          <w:szCs w:val="16"/>
          <w:lang w:val="es-ES_tradnl" w:eastAsia="es-ES"/>
        </w:rPr>
        <w:t>anexo_r</w:t>
      </w:r>
      <w:proofErr w:type="spellEnd"/>
    </w:p>
    <w:p w14:paraId="7CBF7FF4" w14:textId="77777777" w:rsidR="00DE1913" w:rsidRPr="008A44AB" w:rsidRDefault="003B2B73">
      <w:pPr>
        <w:spacing w:after="0"/>
        <w:rPr>
          <w:rFonts w:ascii="Work Sans" w:hAnsi="Work Sans"/>
        </w:rPr>
      </w:pPr>
      <w:r w:rsidRPr="008A44AB">
        <w:rPr>
          <w:rFonts w:ascii="Work Sans" w:hAnsi="Work Sans"/>
          <w:sz w:val="16"/>
          <w:szCs w:val="16"/>
        </w:rPr>
        <w:t xml:space="preserve">Elaboró: </w:t>
      </w:r>
      <w:proofErr w:type="spellStart"/>
      <w:r w:rsidRPr="008A44AB">
        <w:rPr>
          <w:rFonts w:ascii="Work Sans" w:hAnsi="Work Sans"/>
          <w:sz w:val="16"/>
          <w:szCs w:val="16"/>
        </w:rPr>
        <w:t>res_proyecto</w:t>
      </w:r>
      <w:proofErr w:type="spellEnd"/>
      <w:r w:rsidRPr="008A44AB">
        <w:rPr>
          <w:rFonts w:ascii="Work Sans" w:hAnsi="Work Sans"/>
          <w:sz w:val="16"/>
          <w:szCs w:val="16"/>
          <w:lang w:val="es-ES"/>
        </w:rPr>
        <w:br/>
      </w:r>
      <w:r w:rsidRPr="008A44AB">
        <w:rPr>
          <w:rFonts w:ascii="Work Sans" w:hAnsi="Work Sans"/>
          <w:sz w:val="16"/>
          <w:szCs w:val="16"/>
        </w:rPr>
        <w:t xml:space="preserve">Revisó: </w:t>
      </w:r>
      <w:proofErr w:type="spellStart"/>
      <w:r w:rsidRPr="008A44AB">
        <w:rPr>
          <w:rFonts w:ascii="Work Sans" w:hAnsi="Work Sans"/>
          <w:sz w:val="16"/>
          <w:szCs w:val="16"/>
        </w:rPr>
        <w:t>res_reviso</w:t>
      </w:r>
      <w:proofErr w:type="spellEnd"/>
      <w:r w:rsidRPr="008A44AB">
        <w:rPr>
          <w:rFonts w:ascii="Work Sans" w:hAnsi="Work Sans"/>
          <w:sz w:val="16"/>
          <w:szCs w:val="16"/>
        </w:rPr>
        <w:br/>
        <w:t xml:space="preserve">Aprobó: </w:t>
      </w:r>
      <w:proofErr w:type="spellStart"/>
      <w:r w:rsidRPr="008A44AB">
        <w:rPr>
          <w:rFonts w:ascii="Work Sans" w:hAnsi="Work Sans"/>
          <w:sz w:val="16"/>
          <w:szCs w:val="16"/>
        </w:rPr>
        <w:t>res_aprobacion</w:t>
      </w:r>
      <w:proofErr w:type="spellEnd"/>
    </w:p>
    <w:sectPr w:rsidR="00DE1913" w:rsidRPr="008A44AB">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30134" w14:textId="77777777" w:rsidR="00ED2735" w:rsidRDefault="00ED2735">
      <w:pPr>
        <w:spacing w:after="0" w:line="240" w:lineRule="auto"/>
      </w:pPr>
      <w:r>
        <w:separator/>
      </w:r>
    </w:p>
  </w:endnote>
  <w:endnote w:type="continuationSeparator" w:id="0">
    <w:p w14:paraId="53DE01BD" w14:textId="77777777" w:rsidR="00ED2735" w:rsidRDefault="00ED2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AEBAF" w14:textId="77777777" w:rsidR="00ED2735" w:rsidRDefault="00ED2735">
      <w:pPr>
        <w:spacing w:after="0" w:line="240" w:lineRule="auto"/>
      </w:pPr>
      <w:r>
        <w:separator/>
      </w:r>
    </w:p>
  </w:footnote>
  <w:footnote w:type="continuationSeparator" w:id="0">
    <w:p w14:paraId="51F9381A" w14:textId="77777777" w:rsidR="00ED2735" w:rsidRDefault="00ED2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40FB5"/>
    <w:multiLevelType w:val="hybridMultilevel"/>
    <w:tmpl w:val="1E4E1C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94916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E2AFC"/>
    <w:rsid w:val="00127707"/>
    <w:rsid w:val="00154CEC"/>
    <w:rsid w:val="00160EF7"/>
    <w:rsid w:val="0017658D"/>
    <w:rsid w:val="001818F1"/>
    <w:rsid w:val="001820F6"/>
    <w:rsid w:val="001D0E95"/>
    <w:rsid w:val="00233446"/>
    <w:rsid w:val="002478C2"/>
    <w:rsid w:val="00262ACE"/>
    <w:rsid w:val="0028378C"/>
    <w:rsid w:val="002E3C93"/>
    <w:rsid w:val="003121A9"/>
    <w:rsid w:val="00373022"/>
    <w:rsid w:val="003A44D6"/>
    <w:rsid w:val="003A4F97"/>
    <w:rsid w:val="003B2B73"/>
    <w:rsid w:val="00407A94"/>
    <w:rsid w:val="00436909"/>
    <w:rsid w:val="00484A5A"/>
    <w:rsid w:val="00496E70"/>
    <w:rsid w:val="004B3FB6"/>
    <w:rsid w:val="004E07B4"/>
    <w:rsid w:val="0050672D"/>
    <w:rsid w:val="00506960"/>
    <w:rsid w:val="005225C6"/>
    <w:rsid w:val="005617AA"/>
    <w:rsid w:val="005646C4"/>
    <w:rsid w:val="005B2A34"/>
    <w:rsid w:val="005C2D64"/>
    <w:rsid w:val="005F0329"/>
    <w:rsid w:val="0063161A"/>
    <w:rsid w:val="00640E5A"/>
    <w:rsid w:val="0068235F"/>
    <w:rsid w:val="00744FED"/>
    <w:rsid w:val="007475EB"/>
    <w:rsid w:val="00763CAB"/>
    <w:rsid w:val="00766AD8"/>
    <w:rsid w:val="007755B8"/>
    <w:rsid w:val="007832BE"/>
    <w:rsid w:val="00795095"/>
    <w:rsid w:val="007A5A72"/>
    <w:rsid w:val="007D38CC"/>
    <w:rsid w:val="007E5451"/>
    <w:rsid w:val="007F708B"/>
    <w:rsid w:val="00830730"/>
    <w:rsid w:val="008425C8"/>
    <w:rsid w:val="00880F91"/>
    <w:rsid w:val="00892C0E"/>
    <w:rsid w:val="008A44AB"/>
    <w:rsid w:val="008E4ABF"/>
    <w:rsid w:val="009359F1"/>
    <w:rsid w:val="00966301"/>
    <w:rsid w:val="00972E59"/>
    <w:rsid w:val="00981241"/>
    <w:rsid w:val="00981CBE"/>
    <w:rsid w:val="009962D9"/>
    <w:rsid w:val="009E5228"/>
    <w:rsid w:val="00A3590E"/>
    <w:rsid w:val="00A53693"/>
    <w:rsid w:val="00A564F8"/>
    <w:rsid w:val="00A744DD"/>
    <w:rsid w:val="00A86526"/>
    <w:rsid w:val="00A9697E"/>
    <w:rsid w:val="00A97170"/>
    <w:rsid w:val="00AA494F"/>
    <w:rsid w:val="00AD43C1"/>
    <w:rsid w:val="00B06058"/>
    <w:rsid w:val="00B17E39"/>
    <w:rsid w:val="00B4250F"/>
    <w:rsid w:val="00B51607"/>
    <w:rsid w:val="00BA73F3"/>
    <w:rsid w:val="00BE4AB9"/>
    <w:rsid w:val="00C0455B"/>
    <w:rsid w:val="00C1741A"/>
    <w:rsid w:val="00C2067B"/>
    <w:rsid w:val="00C335C3"/>
    <w:rsid w:val="00CB417F"/>
    <w:rsid w:val="00CC4C6F"/>
    <w:rsid w:val="00D10C26"/>
    <w:rsid w:val="00D65BBE"/>
    <w:rsid w:val="00D95541"/>
    <w:rsid w:val="00D9590E"/>
    <w:rsid w:val="00DA1CBB"/>
    <w:rsid w:val="00DC7B37"/>
    <w:rsid w:val="00DE1913"/>
    <w:rsid w:val="00DF361A"/>
    <w:rsid w:val="00E113E2"/>
    <w:rsid w:val="00E37AC0"/>
    <w:rsid w:val="00E40F95"/>
    <w:rsid w:val="00E823F2"/>
    <w:rsid w:val="00E948B5"/>
    <w:rsid w:val="00EB03C3"/>
    <w:rsid w:val="00EB3862"/>
    <w:rsid w:val="00EC22B7"/>
    <w:rsid w:val="00ED2735"/>
    <w:rsid w:val="00EF08FF"/>
    <w:rsid w:val="00EF1DA5"/>
    <w:rsid w:val="00F021C0"/>
    <w:rsid w:val="00F04347"/>
    <w:rsid w:val="00F80A1F"/>
    <w:rsid w:val="00F94C11"/>
    <w:rsid w:val="00FA439A"/>
    <w:rsid w:val="00FC70E8"/>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8A44AB"/>
    <w:pPr>
      <w:suppressAutoHyphens w:val="0"/>
      <w:spacing w:after="160" w:line="278" w:lineRule="auto"/>
      <w:ind w:left="720"/>
      <w:contextualSpacing/>
    </w:pPr>
    <w:rPr>
      <w:kern w:val="2"/>
      <w:sz w:val="24"/>
      <w:szCs w:val="24"/>
      <w14:ligatures w14:val="standardContextual"/>
    </w:rPr>
  </w:style>
  <w:style w:type="character" w:styleId="Refdecomentario">
    <w:name w:val="annotation reference"/>
    <w:basedOn w:val="Fuentedeprrafopredeter"/>
    <w:uiPriority w:val="99"/>
    <w:semiHidden/>
    <w:unhideWhenUsed/>
    <w:rsid w:val="008A44AB"/>
    <w:rPr>
      <w:sz w:val="16"/>
      <w:szCs w:val="16"/>
    </w:rPr>
  </w:style>
  <w:style w:type="paragraph" w:styleId="Textocomentario">
    <w:name w:val="annotation text"/>
    <w:basedOn w:val="Normal"/>
    <w:link w:val="TextocomentarioCar"/>
    <w:uiPriority w:val="99"/>
    <w:unhideWhenUsed/>
    <w:rsid w:val="008A44AB"/>
    <w:pPr>
      <w:suppressAutoHyphens w:val="0"/>
      <w:spacing w:after="160" w:line="240" w:lineRule="auto"/>
    </w:pPr>
    <w:rPr>
      <w:kern w:val="2"/>
      <w:sz w:val="20"/>
      <w:szCs w:val="20"/>
      <w14:ligatures w14:val="standardContextual"/>
    </w:rPr>
  </w:style>
  <w:style w:type="character" w:customStyle="1" w:styleId="TextocomentarioCar">
    <w:name w:val="Texto comentario Car"/>
    <w:basedOn w:val="Fuentedeprrafopredeter"/>
    <w:link w:val="Textocomentario"/>
    <w:uiPriority w:val="99"/>
    <w:rsid w:val="008A44AB"/>
    <w:rPr>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10</Pages>
  <Words>2998</Words>
  <Characters>16491</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62</cp:revision>
  <dcterms:created xsi:type="dcterms:W3CDTF">2026-06-24T18:38:00Z</dcterms:created>
  <dcterms:modified xsi:type="dcterms:W3CDTF">2026-06-24T21:23:00Z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